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A13E" w14:textId="77777777" w:rsidR="00B73390" w:rsidRPr="00B73390" w:rsidRDefault="00B73390" w:rsidP="00B73390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B73390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Государственная антикоррупционная политика</w:t>
      </w:r>
    </w:p>
    <w:p w14:paraId="652ACF71" w14:textId="77777777" w:rsidR="00B73390" w:rsidRPr="00B73390" w:rsidRDefault="00B73390" w:rsidP="00B73390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B73390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36650F13" w14:textId="77777777" w:rsidR="00B73390" w:rsidRPr="00B73390" w:rsidRDefault="00B73390" w:rsidP="00B733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7" w:tooltip="Вернуться в раздел АТТЕСТАЦИЯ" w:history="1">
        <w:r w:rsidRPr="00B73390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5E000A64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 xml:space="preserve">Студенты должны сделать презентацию по любой из </w:t>
      </w:r>
      <w:proofErr w:type="gramStart"/>
      <w:r w:rsidRPr="00B73390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ниже перечисленных</w:t>
      </w:r>
      <w:proofErr w:type="gramEnd"/>
      <w:r w:rsidRPr="00B73390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 xml:space="preserve"> тем:</w:t>
      </w:r>
    </w:p>
    <w:p w14:paraId="429B8AE6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Компьютерная презентация </w:t>
      </w: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мультимедийный инструмент, используемый в ходе докладов или сообщений для повышения выразительности выступления, более убедительной и наглядной иллюстрации описываемых фактов и явлений. Компьютерная презентация создается в программе Microsoft Power Point.</w:t>
      </w:r>
    </w:p>
    <w:p w14:paraId="642C7AF6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Особое внимание при подготовке презентации необходимо уделить тому, что центром внимания во время презентации должен стать сам докладчик и его речь, а не надписи мелким шрифтом на слайдах. Если весь процесс работы над презентацией выстроить хронологически, то начинается он с четко разработанного план, далее переходит на стадию отбора содержания и создания презентации, затем наступает заключительный, но самый важный этап – непосредственное публичное выступление.</w:t>
      </w:r>
    </w:p>
    <w:p w14:paraId="19760E4E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Студенту, опираясь на план выступления, необходимо определить около 10 главных идей, выводов по выбранной теме, которые следует донести до слушателей, и на основании них составить компьютерную презентацию. Дополнительная информация, если таковая имеет место быть, должна быть размещена в раздаточном материале или просто озвучена, но не включена в компьютерную презентацию.</w:t>
      </w:r>
    </w:p>
    <w:p w14:paraId="610F7F21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После подборки информации студенту следует систематизировать материал по блокам, которые будут состоять из собственно текста, а также схем, графиков, таблиц, фотографий и </w:t>
      </w:r>
      <w:proofErr w:type="gramStart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т.д.</w:t>
      </w:r>
      <w:proofErr w:type="gramEnd"/>
    </w:p>
    <w:p w14:paraId="2A8D090E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i/>
          <w:iCs/>
          <w:color w:val="217A94"/>
          <w:sz w:val="21"/>
          <w:szCs w:val="21"/>
          <w:lang w:eastAsia="ru-RU"/>
        </w:rPr>
        <w:t>Элементами, дополняющими содержание презентации, являются:</w:t>
      </w:r>
    </w:p>
    <w:p w14:paraId="7FA11F6B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Иллюстративный ряд. Иллюстрации типа «картинка», фотоиллюстрации, схемы, картины, графики, таблицы, диаграммы, видеоролики.</w:t>
      </w:r>
    </w:p>
    <w:p w14:paraId="633F5B0F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Звуковой ряд. Музыкальное или речевое сопровождение, звуковые эффекты.</w:t>
      </w:r>
    </w:p>
    <w:p w14:paraId="10952CCA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Анимационный ряд.</w:t>
      </w:r>
    </w:p>
    <w:p w14:paraId="45E3E8CC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Цветовая гамма. Общий тон и цветные заставки, иллюстрации, линии должны сочетаться между собой и не противоречить смыслу и настроению презентации.</w:t>
      </w:r>
    </w:p>
    <w:p w14:paraId="5366A26A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Шрифтовой ряд. Выбирать шрифты желательно, не увлекаясь их затейливостью и разнообразием. Чем больше разных шрифтов используется, тем труднее воспринимаются слайды. Однако надо продумать шрифтовые выделения, их подчиненность и логику. Стиль основного шрифта тоже важен. В любом случае выбранные шрифты должны легко восприниматься на первый взгляд.</w:t>
      </w:r>
    </w:p>
    <w:p w14:paraId="2371A137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Специальные эффекты. Важно, чтобы в презентации они не отвлекали внимание на себя, а лишь усиливали главное.</w:t>
      </w:r>
    </w:p>
    <w:p w14:paraId="59427340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Правило хорошей визуализации информации заключается в тезисе: «Схема, рисунок, график, таблица, текст». Именно в такой последовательности. Как только студентом сформулировано то, что он хочет донести до слушателей в каком-то конкретном слайде, необходимо подумать, как это представить в виде схемы? Не </w:t>
      </w:r>
      <w:proofErr w:type="gramStart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получается</w:t>
      </w:r>
      <w:proofErr w:type="gramEnd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как схему – переходим к рисунку, затем к графику, затем к таблице. Текст используется в презентациях, только если все предыдущие способы отображения информации не подходят.</w:t>
      </w:r>
    </w:p>
    <w:p w14:paraId="654C47E6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Также для улучшения визуализации слайдов существует правило: «5 объектов на слайде». Это правило основано на закономерности обнаруженной </w:t>
      </w:r>
      <w:proofErr w:type="gramStart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американским ученым- психологом</w:t>
      </w:r>
      <w:proofErr w:type="gramEnd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Джорджем Миллером. В результате опытов он обнаружил, что кратковременная память человека способна запоминать в среднем девять двоичных чисел, восемь десятичных чисел, семь букв алфавита и пять односложных слов — то есть человек способен одновременно помнить 7 ± 2 элементов. Поэтому при размещении</w:t>
      </w:r>
    </w:p>
    <w:p w14:paraId="3A6F20BD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информации на слайде следует стараться, чтобы в сумме слайд содержал всего 5 элементов. Если не получается, то можно попробовать сгруппировать элементы так, чтобы визуально в схеме выделялось 5 блоков.</w:t>
      </w:r>
    </w:p>
    <w:p w14:paraId="5447D8DD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Правила организации материала в презентации:</w:t>
      </w:r>
    </w:p>
    <w:p w14:paraId="635766D5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Главную информацию - в начало.</w:t>
      </w:r>
    </w:p>
    <w:p w14:paraId="2B10DD56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Тезис слайда - в заголовок.</w:t>
      </w:r>
    </w:p>
    <w:p w14:paraId="4107EB8F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 Анимация - не развлечение, а метод передачи информации, с помощью которого можно привлечь и удержать внимание слушателей.</w:t>
      </w:r>
    </w:p>
    <w:p w14:paraId="67E49314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Компьютерная презентация должна состоять не более чем из </w:t>
      </w:r>
      <w:proofErr w:type="gramStart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10-15</w:t>
      </w:r>
      <w:proofErr w:type="gramEnd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слайдов.</w:t>
      </w:r>
    </w:p>
    <w:p w14:paraId="46EB6711" w14:textId="77777777" w:rsidR="00B73390" w:rsidRPr="00B73390" w:rsidRDefault="00B73390" w:rsidP="00B733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   ПРИМЕРНЫЕ ТЕМЫ ДЛЯ ПОДГОТОВКИ КОМПЬЮТЕРНЫХ ПРЕЗЕНТАЦИЙ ПО ДИСЦИПЛИНЕ</w:t>
      </w:r>
    </w:p>
    <w:p w14:paraId="4FDDDA3B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подходы к определению коррупции.</w:t>
      </w:r>
    </w:p>
    <w:p w14:paraId="0D09E839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Коррупционные отношения, субъекты и объекты коррупции.</w:t>
      </w:r>
    </w:p>
    <w:p w14:paraId="501E7D91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Эволюция коррупции.</w:t>
      </w:r>
    </w:p>
    <w:p w14:paraId="3CC3F99E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Типология коррупции.</w:t>
      </w:r>
    </w:p>
    <w:p w14:paraId="454C095A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Причины коррупции.</w:t>
      </w:r>
    </w:p>
    <w:p w14:paraId="110F8B34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Последствия коррупции.</w:t>
      </w:r>
    </w:p>
    <w:p w14:paraId="1C5C04A3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Задачи исследования и диагностики коррупции.</w:t>
      </w:r>
    </w:p>
    <w:p w14:paraId="112AA447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Международные инструменты исследования коррупции.</w:t>
      </w:r>
    </w:p>
    <w:p w14:paraId="2BED0113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Национальные инструменты исследования коррупции.</w:t>
      </w:r>
    </w:p>
    <w:p w14:paraId="3E4F021B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Значение      исследования      коррупции      для      создания                       национальной антикоррупционной стратегии.</w:t>
      </w:r>
    </w:p>
    <w:p w14:paraId="7810953B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Прямое измерение коррупции.</w:t>
      </w:r>
    </w:p>
    <w:p w14:paraId="2F39E6F4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Средства косвенного измерения коррупции.</w:t>
      </w:r>
    </w:p>
    <w:p w14:paraId="5B5DF57B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Российская коррупция в зеркале социологии.</w:t>
      </w:r>
    </w:p>
    <w:p w14:paraId="3E9F5D87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6" w:tooltip="Основы формирования государственной антикоррупционной политики" w:history="1">
        <w:r w:rsidRPr="00B73390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Основы формирования государственной антикоррупционной политики</w:t>
        </w:r>
      </w:hyperlink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</w:t>
      </w:r>
    </w:p>
    <w:p w14:paraId="02D3E8D3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Цели и задачи антикоррупционной политики.</w:t>
      </w:r>
    </w:p>
    <w:p w14:paraId="1697A5E5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Основы формирования антикоррупционных программ.</w:t>
      </w:r>
    </w:p>
    <w:p w14:paraId="52C4015C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гражданского общества в антикоррупционной политике.</w:t>
      </w:r>
    </w:p>
    <w:p w14:paraId="4474F59F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Общая характеристика антикоррупционной политики Великобритании.</w:t>
      </w:r>
    </w:p>
    <w:p w14:paraId="55FFAE60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Специфика антикоррупционных мер Франции.</w:t>
      </w:r>
    </w:p>
    <w:p w14:paraId="4CD17C01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Опыт Германии по организации деятельности ведомства по предупреждению коррупционных правонарушений.</w:t>
      </w:r>
    </w:p>
    <w:p w14:paraId="1B8F181E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антикоррупционной политики Италии</w:t>
      </w:r>
    </w:p>
    <w:p w14:paraId="5B9D0400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этики правительственных служащих США.</w:t>
      </w:r>
    </w:p>
    <w:p w14:paraId="31AF4A52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История развития законодательства о противодействии коррупции в России.</w:t>
      </w:r>
    </w:p>
    <w:p w14:paraId="2CC2E8DB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Общая      характеристика     современной     системы                       законодательства                   о противодействии коррупции.</w:t>
      </w:r>
    </w:p>
    <w:p w14:paraId="4C6BF4D2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   государственных   органов   России   и   их                       антикоррупционный иммунитет.</w:t>
      </w:r>
    </w:p>
    <w:p w14:paraId="649BFF44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Основными   направлениями   деятельности                       государственных                        органов             по повышению эффективности противодействия коррупции.</w:t>
      </w:r>
    </w:p>
    <w:p w14:paraId="4F9CD1E2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Меры ответственности за коррупционные правонарушения.</w:t>
      </w:r>
    </w:p>
    <w:p w14:paraId="4E2CA072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Организационно-правовые        основы          противодействия                       коррупции в Белгородской области.</w:t>
      </w:r>
    </w:p>
    <w:p w14:paraId="21140AFC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Порядок проведения экспертизы проектов правовых актов области на </w:t>
      </w:r>
      <w:proofErr w:type="spellStart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кoppупциoгeннocть</w:t>
      </w:r>
      <w:proofErr w:type="spellEnd"/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</w:t>
      </w:r>
    </w:p>
    <w:p w14:paraId="18F629A9" w14:textId="77777777" w:rsidR="00B73390" w:rsidRPr="00B73390" w:rsidRDefault="00B73390" w:rsidP="00B73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B73390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Механизм обеспечения доступа граждан к информации o деятельности органов исполнительной власти Белгородской области.</w:t>
      </w:r>
    </w:p>
    <w:p w14:paraId="7031FB97" w14:textId="77777777" w:rsidR="002D46B8" w:rsidRDefault="002D46B8"/>
    <w:sectPr w:rsidR="002D4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40570"/>
    <w:multiLevelType w:val="multilevel"/>
    <w:tmpl w:val="7A16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DE"/>
    <w:rsid w:val="002D46B8"/>
    <w:rsid w:val="008D00DE"/>
    <w:rsid w:val="00B7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47FAE-6C8D-454B-BF74-3F9DA5EE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3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3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33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3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04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8090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1664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kalavr.rggu.ru/mod/page/view.php?id=31237" TargetMode="External"/><Relationship Id="rId5" Type="http://schemas.openxmlformats.org/officeDocument/2006/relationships/hyperlink" Target="http://bakalavr.rggu.ru/course/view.php?id=3143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2021-11-04T12:22:00Z</dcterms:created>
  <dcterms:modified xsi:type="dcterms:W3CDTF">2021-11-04T12:23:00Z</dcterms:modified>
</cp:coreProperties>
</file>