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BC6" w:rsidRDefault="00602BC6" w:rsidP="00602BC6">
      <w:pPr>
        <w:spacing w:after="0" w:line="240" w:lineRule="auto"/>
        <w:jc w:val="center"/>
        <w:rPr>
          <w:rFonts w:ascii="Times New Roman" w:eastAsia="Calibri" w:hAnsi="Times New Roman" w:cs="Times New Roman"/>
          <w:b/>
          <w:bCs/>
          <w:lang w:eastAsia="ru-RU"/>
        </w:rPr>
      </w:pPr>
    </w:p>
    <w:p w:rsidR="00164B2B" w:rsidRDefault="00164B2B" w:rsidP="00602BC6">
      <w:pPr>
        <w:spacing w:after="0" w:line="240" w:lineRule="auto"/>
        <w:jc w:val="center"/>
        <w:rPr>
          <w:rFonts w:ascii="Times New Roman" w:eastAsia="Times New Roman" w:hAnsi="Times New Roman" w:cs="Times New Roman"/>
          <w:b/>
          <w:bCs/>
          <w:color w:val="FF0000"/>
          <w:sz w:val="28"/>
          <w:szCs w:val="28"/>
          <w:lang w:eastAsia="ru-RU"/>
        </w:rPr>
      </w:pPr>
      <w:r w:rsidRPr="00164B2B">
        <w:rPr>
          <w:rFonts w:ascii="Times New Roman" w:eastAsia="Times New Roman" w:hAnsi="Times New Roman" w:cs="Times New Roman"/>
          <w:b/>
          <w:bCs/>
          <w:color w:val="FF0000"/>
          <w:sz w:val="28"/>
          <w:szCs w:val="28"/>
          <w:lang w:eastAsia="ru-RU"/>
        </w:rPr>
        <w:t xml:space="preserve">ОРИЕНТИРОВОЧНЫЕ МАТЕРИАЛЫ, </w:t>
      </w:r>
    </w:p>
    <w:p w:rsidR="00EC7DD1" w:rsidRPr="00164B2B" w:rsidRDefault="00164B2B" w:rsidP="00602BC6">
      <w:pPr>
        <w:spacing w:after="0" w:line="240" w:lineRule="auto"/>
        <w:jc w:val="center"/>
        <w:rPr>
          <w:rFonts w:ascii="Times New Roman" w:eastAsia="Times New Roman" w:hAnsi="Times New Roman" w:cs="Times New Roman"/>
          <w:b/>
          <w:bCs/>
          <w:color w:val="FF0000"/>
          <w:sz w:val="28"/>
          <w:szCs w:val="28"/>
          <w:lang w:eastAsia="ru-RU"/>
        </w:rPr>
      </w:pPr>
      <w:bookmarkStart w:id="0" w:name="_GoBack"/>
      <w:bookmarkEnd w:id="0"/>
      <w:r w:rsidRPr="00164B2B">
        <w:rPr>
          <w:rFonts w:ascii="Times New Roman" w:eastAsia="Times New Roman" w:hAnsi="Times New Roman" w:cs="Times New Roman"/>
          <w:b/>
          <w:bCs/>
          <w:color w:val="FF0000"/>
          <w:sz w:val="28"/>
          <w:szCs w:val="28"/>
          <w:lang w:eastAsia="ru-RU"/>
        </w:rPr>
        <w:t xml:space="preserve">которые могут быть использованы в магистерской, но которые требуют актуализации и переработки на </w:t>
      </w:r>
      <w:proofErr w:type="spellStart"/>
      <w:r w:rsidRPr="00164B2B">
        <w:rPr>
          <w:rFonts w:ascii="Times New Roman" w:eastAsia="Times New Roman" w:hAnsi="Times New Roman" w:cs="Times New Roman"/>
          <w:b/>
          <w:bCs/>
          <w:color w:val="FF0000"/>
          <w:sz w:val="28"/>
          <w:szCs w:val="28"/>
          <w:lang w:eastAsia="ru-RU"/>
        </w:rPr>
        <w:t>антиплагиат</w:t>
      </w:r>
      <w:proofErr w:type="spellEnd"/>
      <w:r w:rsidRPr="00164B2B">
        <w:rPr>
          <w:rFonts w:ascii="Times New Roman" w:eastAsia="Times New Roman" w:hAnsi="Times New Roman" w:cs="Times New Roman"/>
          <w:b/>
          <w:bCs/>
          <w:color w:val="FF0000"/>
          <w:sz w:val="28"/>
          <w:szCs w:val="28"/>
          <w:lang w:eastAsia="ru-RU"/>
        </w:rPr>
        <w:t xml:space="preserve"> (не менее 85%)</w:t>
      </w: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r w:rsidRPr="0025440B">
        <w:rPr>
          <w:rFonts w:ascii="Times New Roman" w:eastAsia="Times New Roman" w:hAnsi="Times New Roman" w:cs="Times New Roman"/>
          <w:b/>
          <w:bCs/>
          <w:sz w:val="28"/>
          <w:szCs w:val="28"/>
          <w:lang w:eastAsia="ru-RU"/>
        </w:rPr>
        <w:t>ОТЧЕТ</w:t>
      </w:r>
    </w:p>
    <w:p w:rsidR="00602BC6" w:rsidRPr="0025440B" w:rsidRDefault="00602BC6" w:rsidP="00602BC6">
      <w:pPr>
        <w:spacing w:after="0" w:line="240" w:lineRule="auto"/>
        <w:jc w:val="center"/>
        <w:rPr>
          <w:rFonts w:ascii="Times New Roman" w:eastAsia="Times New Roman" w:hAnsi="Times New Roman" w:cs="Times New Roman"/>
          <w:bCs/>
          <w:caps/>
          <w:sz w:val="28"/>
          <w:szCs w:val="28"/>
          <w:lang w:eastAsia="ru-RU"/>
        </w:rPr>
      </w:pPr>
    </w:p>
    <w:p w:rsidR="00602BC6" w:rsidRPr="0025440B" w:rsidRDefault="00602BC6" w:rsidP="00602BC6">
      <w:pPr>
        <w:spacing w:after="0" w:line="240" w:lineRule="auto"/>
        <w:jc w:val="center"/>
        <w:rPr>
          <w:rFonts w:ascii="Times New Roman" w:eastAsia="Times New Roman" w:hAnsi="Times New Roman" w:cs="Times New Roman"/>
          <w:b/>
          <w:caps/>
          <w:sz w:val="28"/>
          <w:szCs w:val="28"/>
          <w:lang w:eastAsia="ru-RU"/>
        </w:rPr>
      </w:pPr>
      <w:r w:rsidRPr="0025440B">
        <w:rPr>
          <w:rFonts w:ascii="Times New Roman" w:eastAsia="Times New Roman" w:hAnsi="Times New Roman" w:cs="Times New Roman"/>
          <w:b/>
          <w:caps/>
          <w:sz w:val="28"/>
          <w:szCs w:val="28"/>
          <w:lang w:eastAsia="ru-RU"/>
        </w:rPr>
        <w:t>О ПРОХОЖДЕНИИ ПРОИЗВОДСТВЕННОЙ ПРАКТИКИ</w:t>
      </w: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r w:rsidRPr="0025440B">
        <w:rPr>
          <w:rFonts w:ascii="Times New Roman" w:eastAsia="Times New Roman" w:hAnsi="Times New Roman" w:cs="Times New Roman"/>
          <w:b/>
          <w:bCs/>
          <w:sz w:val="28"/>
          <w:szCs w:val="28"/>
          <w:lang w:eastAsia="ru-RU"/>
        </w:rPr>
        <w:t>(Научно-исследовательская работа)</w:t>
      </w:r>
    </w:p>
    <w:p w:rsidR="00602BC6" w:rsidRPr="00060150" w:rsidRDefault="00602BC6" w:rsidP="00602BC6">
      <w:pPr>
        <w:spacing w:after="0" w:line="240" w:lineRule="auto"/>
        <w:jc w:val="center"/>
        <w:rPr>
          <w:rFonts w:ascii="Times New Roman" w:eastAsia="Times New Roman" w:hAnsi="Times New Roman" w:cs="Times New Roman"/>
          <w:sz w:val="28"/>
          <w:szCs w:val="28"/>
          <w:lang w:eastAsia="ru-RU"/>
        </w:rPr>
      </w:pPr>
      <w:r w:rsidRPr="00060150">
        <w:rPr>
          <w:rFonts w:ascii="Times New Roman" w:eastAsia="Times New Roman" w:hAnsi="Times New Roman" w:cs="Times New Roman"/>
          <w:sz w:val="28"/>
          <w:szCs w:val="28"/>
          <w:lang w:eastAsia="ru-RU"/>
        </w:rPr>
        <w:t xml:space="preserve">По теме: «Анализ </w:t>
      </w:r>
      <w:r w:rsidRPr="00CB0CFC">
        <w:rPr>
          <w:rFonts w:ascii="Times New Roman" w:eastAsia="Times New Roman" w:hAnsi="Times New Roman" w:cs="Times New Roman"/>
          <w:color w:val="333333"/>
          <w:sz w:val="28"/>
          <w:szCs w:val="28"/>
          <w:lang w:eastAsia="ru-RU"/>
        </w:rPr>
        <w:t>теоретических вопросов в сфере государственно-частного партнерства в строительстве</w:t>
      </w:r>
      <w:r>
        <w:rPr>
          <w:rFonts w:ascii="Times New Roman" w:eastAsia="Times New Roman" w:hAnsi="Times New Roman" w:cs="Times New Roman"/>
          <w:color w:val="333333"/>
          <w:sz w:val="28"/>
          <w:szCs w:val="28"/>
          <w:lang w:eastAsia="ru-RU"/>
        </w:rPr>
        <w:t xml:space="preserve"> и </w:t>
      </w:r>
      <w:r w:rsidR="00214483">
        <w:rPr>
          <w:rFonts w:ascii="Times New Roman" w:eastAsia="Times New Roman" w:hAnsi="Times New Roman" w:cs="Times New Roman"/>
          <w:color w:val="333333"/>
          <w:sz w:val="28"/>
          <w:szCs w:val="28"/>
          <w:lang w:eastAsia="ru-RU"/>
        </w:rPr>
        <w:t xml:space="preserve">выявление </w:t>
      </w:r>
      <w:r w:rsidRPr="00CB0CFC">
        <w:rPr>
          <w:rFonts w:ascii="Times New Roman" w:eastAsia="Times New Roman" w:hAnsi="Times New Roman" w:cs="Times New Roman"/>
          <w:color w:val="333333"/>
          <w:sz w:val="28"/>
          <w:szCs w:val="28"/>
          <w:lang w:eastAsia="ru-RU"/>
        </w:rPr>
        <w:t>особенност</w:t>
      </w:r>
      <w:r w:rsidR="00214483">
        <w:rPr>
          <w:rFonts w:ascii="Times New Roman" w:eastAsia="Times New Roman" w:hAnsi="Times New Roman" w:cs="Times New Roman"/>
          <w:color w:val="333333"/>
          <w:sz w:val="28"/>
          <w:szCs w:val="28"/>
          <w:lang w:eastAsia="ru-RU"/>
        </w:rPr>
        <w:t>ей</w:t>
      </w:r>
      <w:r w:rsidRPr="00CB0CFC">
        <w:rPr>
          <w:rFonts w:ascii="Times New Roman" w:eastAsia="Times New Roman" w:hAnsi="Times New Roman" w:cs="Times New Roman"/>
          <w:color w:val="333333"/>
          <w:sz w:val="28"/>
          <w:szCs w:val="28"/>
          <w:lang w:eastAsia="ru-RU"/>
        </w:rPr>
        <w:t xml:space="preserve"> реализации государственно-частного партнерства в транспортном строительстве в России и за рубежом</w:t>
      </w:r>
      <w:r w:rsidRPr="00060150">
        <w:rPr>
          <w:rFonts w:ascii="Times New Roman" w:eastAsia="Times New Roman" w:hAnsi="Times New Roman" w:cs="Times New Roman"/>
          <w:sz w:val="28"/>
          <w:szCs w:val="28"/>
          <w:lang w:eastAsia="ru-RU"/>
        </w:rPr>
        <w:t>»</w:t>
      </w:r>
    </w:p>
    <w:p w:rsidR="00602BC6" w:rsidRPr="00060150" w:rsidRDefault="00602BC6" w:rsidP="00602BC6">
      <w:pPr>
        <w:spacing w:after="0" w:line="240" w:lineRule="auto"/>
        <w:jc w:val="center"/>
        <w:rPr>
          <w:rFonts w:ascii="Times New Roman" w:eastAsia="Times New Roman" w:hAnsi="Times New Roman" w:cs="Times New Roman"/>
          <w:bCs/>
          <w:sz w:val="24"/>
          <w:szCs w:val="24"/>
          <w:lang w:eastAsia="ru-RU"/>
        </w:rPr>
      </w:pPr>
    </w:p>
    <w:p w:rsidR="00602BC6" w:rsidRDefault="00602BC6" w:rsidP="00602BC6">
      <w:pPr>
        <w:spacing w:after="0" w:line="240" w:lineRule="auto"/>
        <w:jc w:val="both"/>
        <w:rPr>
          <w:rFonts w:ascii="Times New Roman" w:eastAsia="Times New Roman" w:hAnsi="Times New Roman" w:cs="Times New Roman"/>
          <w:bCs/>
          <w:sz w:val="28"/>
          <w:szCs w:val="28"/>
          <w:lang w:eastAsia="x-none"/>
        </w:rPr>
      </w:pPr>
    </w:p>
    <w:p w:rsidR="00EC7DD1" w:rsidRPr="0025440B" w:rsidRDefault="00EC7DD1" w:rsidP="00602BC6">
      <w:pPr>
        <w:spacing w:after="0" w:line="240" w:lineRule="auto"/>
        <w:jc w:val="both"/>
        <w:rPr>
          <w:rFonts w:ascii="Times New Roman" w:eastAsia="Times New Roman" w:hAnsi="Times New Roman" w:cs="Times New Roman"/>
          <w:b/>
          <w:sz w:val="28"/>
          <w:szCs w:val="28"/>
          <w:lang w:eastAsia="ru-RU"/>
        </w:rPr>
      </w:pPr>
    </w:p>
    <w:p w:rsidR="00602BC6" w:rsidRDefault="00602BC6" w:rsidP="00602BC6">
      <w:pPr>
        <w:spacing w:after="0" w:line="240" w:lineRule="auto"/>
        <w:jc w:val="center"/>
        <w:rPr>
          <w:rFonts w:ascii="Times New Roman" w:eastAsia="Times New Roman" w:hAnsi="Times New Roman" w:cs="Times New Roman"/>
          <w:sz w:val="28"/>
          <w:szCs w:val="28"/>
          <w:lang w:eastAsia="ru-RU"/>
        </w:rPr>
      </w:pPr>
    </w:p>
    <w:p w:rsidR="00602BC6" w:rsidRDefault="00602BC6" w:rsidP="00602BC6">
      <w:pPr>
        <w:spacing w:after="0" w:line="240" w:lineRule="auto"/>
        <w:jc w:val="center"/>
        <w:rPr>
          <w:rFonts w:ascii="Times New Roman" w:eastAsia="Times New Roman" w:hAnsi="Times New Roman" w:cs="Times New Roman"/>
          <w:sz w:val="28"/>
          <w:szCs w:val="28"/>
          <w:lang w:eastAsia="ru-RU"/>
        </w:rPr>
      </w:pPr>
    </w:p>
    <w:p w:rsidR="00602BC6" w:rsidRDefault="00602BC6" w:rsidP="00602BC6">
      <w:pPr>
        <w:spacing w:after="0" w:line="240" w:lineRule="auto"/>
        <w:jc w:val="center"/>
        <w:rPr>
          <w:rFonts w:ascii="Times New Roman" w:eastAsia="Times New Roman" w:hAnsi="Times New Roman" w:cs="Times New Roman"/>
          <w:sz w:val="28"/>
          <w:szCs w:val="28"/>
          <w:lang w:eastAsia="ru-RU"/>
        </w:rPr>
      </w:pPr>
    </w:p>
    <w:p w:rsidR="00602BC6" w:rsidRDefault="00602BC6" w:rsidP="00602BC6">
      <w:pPr>
        <w:spacing w:after="0" w:line="240" w:lineRule="auto"/>
        <w:jc w:val="center"/>
        <w:rPr>
          <w:rFonts w:ascii="Times New Roman" w:hAnsi="Times New Roman" w:cs="Times New Roman"/>
          <w:b/>
          <w:sz w:val="28"/>
          <w:szCs w:val="28"/>
        </w:rPr>
      </w:pPr>
      <w:r w:rsidRPr="0025440B">
        <w:rPr>
          <w:rFonts w:ascii="Times New Roman" w:eastAsia="Times New Roman" w:hAnsi="Times New Roman" w:cs="Times New Roman"/>
          <w:sz w:val="28"/>
          <w:szCs w:val="28"/>
          <w:lang w:eastAsia="ru-RU"/>
        </w:rPr>
        <w:t>2019</w:t>
      </w:r>
      <w:r>
        <w:rPr>
          <w:rFonts w:ascii="Times New Roman" w:hAnsi="Times New Roman" w:cs="Times New Roman"/>
          <w:b/>
          <w:sz w:val="28"/>
          <w:szCs w:val="28"/>
        </w:rPr>
        <w:br w:type="page"/>
      </w: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CB0CFC" w:rsidRPr="00CB0CFC" w:rsidRDefault="00CB0CFC" w:rsidP="00602BC6">
      <w:pPr>
        <w:shd w:val="clear" w:color="auto" w:fill="FFFFFF"/>
        <w:spacing w:after="0" w:line="360" w:lineRule="auto"/>
        <w:jc w:val="both"/>
        <w:rPr>
          <w:rFonts w:ascii="Arial" w:eastAsia="Times New Roman" w:hAnsi="Arial" w:cs="Arial"/>
          <w:color w:val="333333"/>
          <w:sz w:val="23"/>
          <w:szCs w:val="23"/>
          <w:lang w:eastAsia="ru-RU"/>
        </w:rPr>
      </w:pPr>
      <w:r w:rsidRPr="00CB0CFC">
        <w:rPr>
          <w:rFonts w:ascii="Times New Roman" w:eastAsia="Times New Roman" w:hAnsi="Times New Roman" w:cs="Times New Roman"/>
          <w:color w:val="333333"/>
          <w:sz w:val="28"/>
          <w:szCs w:val="28"/>
          <w:lang w:eastAsia="ru-RU"/>
        </w:rPr>
        <w:t>1. Выполнить анализ теоретических вопросов в сфере государственно-частного партнерства в строительстве.</w:t>
      </w:r>
    </w:p>
    <w:p w:rsidR="00CB0CFC" w:rsidRPr="00CB0CFC" w:rsidRDefault="00CB0CFC" w:rsidP="00602BC6">
      <w:pPr>
        <w:shd w:val="clear" w:color="auto" w:fill="FFFFFF"/>
        <w:spacing w:after="0" w:line="360" w:lineRule="auto"/>
        <w:jc w:val="both"/>
        <w:rPr>
          <w:rFonts w:ascii="Arial" w:eastAsia="Times New Roman" w:hAnsi="Arial" w:cs="Arial"/>
          <w:color w:val="333333"/>
          <w:sz w:val="23"/>
          <w:szCs w:val="23"/>
          <w:lang w:eastAsia="ru-RU"/>
        </w:rPr>
      </w:pPr>
      <w:r w:rsidRPr="00CB0CFC">
        <w:rPr>
          <w:rFonts w:ascii="Times New Roman" w:eastAsia="Times New Roman" w:hAnsi="Times New Roman" w:cs="Times New Roman"/>
          <w:color w:val="333333"/>
          <w:sz w:val="28"/>
          <w:szCs w:val="28"/>
          <w:lang w:eastAsia="ru-RU"/>
        </w:rPr>
        <w:t>2. Выявить особенности реализации государственно-частного партнерства в транспортном строительстве в России и за рубежом;</w:t>
      </w:r>
    </w:p>
    <w:p w:rsidR="00CB0CFC" w:rsidRDefault="00CB0CFC" w:rsidP="00602BC6">
      <w:pPr>
        <w:spacing w:line="360" w:lineRule="auto"/>
        <w:rPr>
          <w:rFonts w:ascii="Times New Roman" w:hAnsi="Times New Roman" w:cs="Times New Roman"/>
          <w:sz w:val="28"/>
          <w:szCs w:val="28"/>
        </w:rPr>
      </w:pPr>
      <w:r w:rsidRPr="00CB0CFC">
        <w:rPr>
          <w:rFonts w:ascii="Times New Roman" w:eastAsia="Times New Roman" w:hAnsi="Times New Roman" w:cs="Times New Roman"/>
          <w:color w:val="333333"/>
          <w:sz w:val="28"/>
          <w:szCs w:val="28"/>
          <w:shd w:val="clear" w:color="auto" w:fill="FFFFFF"/>
          <w:lang w:eastAsia="ru-RU"/>
        </w:rPr>
        <w:t>3. Сформировать в отчете список литературы по теоретическим вопросам ГЧП.</w:t>
      </w:r>
    </w:p>
    <w:p w:rsidR="00CB0CFC" w:rsidRDefault="00CB0CFC" w:rsidP="00602BC6">
      <w:pPr>
        <w:spacing w:line="360" w:lineRule="auto"/>
        <w:rPr>
          <w:rFonts w:ascii="Times New Roman" w:hAnsi="Times New Roman" w:cs="Times New Roman"/>
          <w:sz w:val="28"/>
          <w:szCs w:val="28"/>
        </w:rPr>
      </w:pPr>
    </w:p>
    <w:p w:rsidR="00CB0CFC" w:rsidRDefault="00CB0CFC" w:rsidP="00602BC6">
      <w:pPr>
        <w:spacing w:line="360" w:lineRule="auto"/>
        <w:rPr>
          <w:rFonts w:ascii="Times New Roman" w:hAnsi="Times New Roman" w:cs="Times New Roman"/>
          <w:sz w:val="28"/>
          <w:szCs w:val="28"/>
        </w:rPr>
      </w:pPr>
    </w:p>
    <w:p w:rsidR="00CB0CFC" w:rsidRDefault="00CB0CFC"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AC4152" w:rsidRDefault="00AC4152" w:rsidP="00AC4152">
      <w:pPr>
        <w:spacing w:line="360" w:lineRule="auto"/>
        <w:ind w:firstLine="851"/>
        <w:jc w:val="center"/>
        <w:rPr>
          <w:rFonts w:ascii="Times New Roman" w:hAnsi="Times New Roman" w:cs="Times New Roman"/>
          <w:sz w:val="28"/>
          <w:szCs w:val="28"/>
        </w:rPr>
      </w:pPr>
      <w:r>
        <w:rPr>
          <w:rFonts w:ascii="Times New Roman" w:hAnsi="Times New Roman" w:cs="Times New Roman"/>
          <w:sz w:val="28"/>
          <w:szCs w:val="28"/>
        </w:rPr>
        <w:lastRenderedPageBreak/>
        <w:t>ОГЛАВЛЕНИЕ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222"/>
        <w:gridCol w:w="532"/>
      </w:tblGrid>
      <w:tr w:rsidR="00AC4152" w:rsidTr="00B942D2">
        <w:tc>
          <w:tcPr>
            <w:tcW w:w="817" w:type="dxa"/>
          </w:tcPr>
          <w:p w:rsidR="00AC4152" w:rsidRDefault="00AC4152" w:rsidP="00AC4152">
            <w:pPr>
              <w:spacing w:line="360" w:lineRule="auto"/>
              <w:rPr>
                <w:rFonts w:ascii="Times New Roman" w:hAnsi="Times New Roman" w:cs="Times New Roman"/>
                <w:sz w:val="28"/>
                <w:szCs w:val="28"/>
              </w:rPr>
            </w:pPr>
          </w:p>
        </w:tc>
        <w:tc>
          <w:tcPr>
            <w:tcW w:w="8222"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Введение</w:t>
            </w:r>
          </w:p>
        </w:tc>
        <w:tc>
          <w:tcPr>
            <w:tcW w:w="532" w:type="dxa"/>
          </w:tcPr>
          <w:p w:rsidR="00AC4152" w:rsidRDefault="00AC4152" w:rsidP="00AC4152">
            <w:pPr>
              <w:spacing w:line="360" w:lineRule="auto"/>
              <w:jc w:val="center"/>
              <w:rPr>
                <w:rFonts w:ascii="Times New Roman" w:hAnsi="Times New Roman" w:cs="Times New Roman"/>
                <w:sz w:val="28"/>
                <w:szCs w:val="28"/>
              </w:rPr>
            </w:pPr>
            <w:r w:rsidRPr="00265401">
              <w:rPr>
                <w:rFonts w:ascii="Times New Roman" w:hAnsi="Times New Roman" w:cs="Times New Roman"/>
                <w:sz w:val="28"/>
                <w:szCs w:val="28"/>
              </w:rPr>
              <w:t>3</w:t>
            </w: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 xml:space="preserve">Теоретические основы государственно-частного </w:t>
            </w:r>
            <w:r>
              <w:rPr>
                <w:rFonts w:ascii="Times New Roman" w:hAnsi="Times New Roman" w:cs="Times New Roman"/>
                <w:sz w:val="28"/>
                <w:szCs w:val="28"/>
              </w:rPr>
              <w:t>партнерства в России</w:t>
            </w:r>
          </w:p>
        </w:tc>
        <w:tc>
          <w:tcPr>
            <w:tcW w:w="532" w:type="dxa"/>
          </w:tcPr>
          <w:p w:rsidR="00AC4152" w:rsidRDefault="00AC4152" w:rsidP="00AC4152">
            <w:pPr>
              <w:spacing w:line="360" w:lineRule="auto"/>
              <w:jc w:val="center"/>
              <w:rPr>
                <w:rFonts w:ascii="Times New Roman" w:hAnsi="Times New Roman" w:cs="Times New Roman"/>
                <w:sz w:val="28"/>
                <w:szCs w:val="28"/>
              </w:rPr>
            </w:pPr>
            <w:r w:rsidRPr="00265401">
              <w:rPr>
                <w:rFonts w:ascii="Times New Roman" w:hAnsi="Times New Roman" w:cs="Times New Roman"/>
                <w:sz w:val="28"/>
                <w:szCs w:val="28"/>
              </w:rPr>
              <w:t>5</w:t>
            </w: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1.1</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Понятие, структура и основы государственно</w:t>
            </w:r>
            <w:r>
              <w:rPr>
                <w:rFonts w:ascii="Times New Roman" w:hAnsi="Times New Roman" w:cs="Times New Roman"/>
                <w:sz w:val="28"/>
                <w:szCs w:val="28"/>
              </w:rPr>
              <w:t>-частного партнерства</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1.2</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Организационно-правовые формы и принципы государственного-частного партнерства в России партнерства в России</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1.3</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Возможности и перспективы развития государственно-частного</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2</w:t>
            </w:r>
          </w:p>
        </w:tc>
        <w:tc>
          <w:tcPr>
            <w:tcW w:w="8222" w:type="dxa"/>
          </w:tcPr>
          <w:p w:rsidR="00AC4152" w:rsidRDefault="00B942D2" w:rsidP="00B942D2">
            <w:pPr>
              <w:jc w:val="both"/>
              <w:rPr>
                <w:rFonts w:ascii="Times New Roman" w:hAnsi="Times New Roman" w:cs="Times New Roman"/>
                <w:sz w:val="28"/>
                <w:szCs w:val="28"/>
              </w:rPr>
            </w:pPr>
            <w:r>
              <w:rPr>
                <w:rFonts w:ascii="Times New Roman" w:hAnsi="Times New Roman" w:cs="Times New Roman"/>
                <w:sz w:val="28"/>
                <w:szCs w:val="28"/>
              </w:rPr>
              <w:t>Особенности</w:t>
            </w:r>
            <w:r w:rsidR="00AC4152" w:rsidRPr="00265401">
              <w:rPr>
                <w:rFonts w:ascii="Times New Roman" w:hAnsi="Times New Roman" w:cs="Times New Roman"/>
                <w:sz w:val="28"/>
                <w:szCs w:val="28"/>
              </w:rPr>
              <w:t xml:space="preserve"> р</w:t>
            </w:r>
            <w:r>
              <w:rPr>
                <w:rFonts w:ascii="Times New Roman" w:hAnsi="Times New Roman" w:cs="Times New Roman"/>
                <w:sz w:val="28"/>
                <w:szCs w:val="28"/>
              </w:rPr>
              <w:t xml:space="preserve">еализации </w:t>
            </w:r>
            <w:r w:rsidR="00AC4152" w:rsidRPr="00265401">
              <w:rPr>
                <w:rFonts w:ascii="Times New Roman" w:hAnsi="Times New Roman" w:cs="Times New Roman"/>
                <w:sz w:val="28"/>
                <w:szCs w:val="28"/>
              </w:rPr>
              <w:t xml:space="preserve"> государственно-част</w:t>
            </w:r>
            <w:r w:rsidR="00AC4152">
              <w:rPr>
                <w:rFonts w:ascii="Times New Roman" w:hAnsi="Times New Roman" w:cs="Times New Roman"/>
                <w:sz w:val="28"/>
                <w:szCs w:val="28"/>
              </w:rPr>
              <w:t>ного партнерства в России</w:t>
            </w:r>
            <w:r>
              <w:rPr>
                <w:rFonts w:ascii="Times New Roman" w:hAnsi="Times New Roman" w:cs="Times New Roman"/>
                <w:sz w:val="28"/>
                <w:szCs w:val="28"/>
              </w:rPr>
              <w:t xml:space="preserve"> и за рубежом;</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2.1</w:t>
            </w:r>
          </w:p>
        </w:tc>
        <w:tc>
          <w:tcPr>
            <w:tcW w:w="8222" w:type="dxa"/>
          </w:tcPr>
          <w:p w:rsidR="00AC4152" w:rsidRDefault="00AC4152" w:rsidP="00B942D2">
            <w:pPr>
              <w:jc w:val="both"/>
              <w:rPr>
                <w:rFonts w:ascii="Times New Roman" w:hAnsi="Times New Roman" w:cs="Times New Roman"/>
                <w:sz w:val="28"/>
                <w:szCs w:val="28"/>
              </w:rPr>
            </w:pPr>
            <w:r w:rsidRPr="00265401">
              <w:rPr>
                <w:rFonts w:ascii="Times New Roman" w:hAnsi="Times New Roman" w:cs="Times New Roman"/>
                <w:sz w:val="28"/>
                <w:szCs w:val="28"/>
              </w:rPr>
              <w:t>Анализ реализации проектов государственно-частного партнерства в России</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2.2</w:t>
            </w:r>
          </w:p>
        </w:tc>
        <w:tc>
          <w:tcPr>
            <w:tcW w:w="8222" w:type="dxa"/>
          </w:tcPr>
          <w:p w:rsidR="00AC4152" w:rsidRDefault="00B942D2" w:rsidP="00B942D2">
            <w:pPr>
              <w:jc w:val="both"/>
              <w:rPr>
                <w:rFonts w:ascii="Times New Roman" w:hAnsi="Times New Roman" w:cs="Times New Roman"/>
                <w:sz w:val="28"/>
                <w:szCs w:val="28"/>
              </w:rPr>
            </w:pPr>
            <w:r w:rsidRPr="00265401">
              <w:rPr>
                <w:rFonts w:ascii="Times New Roman" w:hAnsi="Times New Roman" w:cs="Times New Roman"/>
                <w:sz w:val="28"/>
                <w:szCs w:val="28"/>
              </w:rPr>
              <w:t xml:space="preserve">Анализ реализации проектов государственно-частного партнерства </w:t>
            </w:r>
            <w:r>
              <w:rPr>
                <w:rFonts w:ascii="Times New Roman" w:hAnsi="Times New Roman" w:cs="Times New Roman"/>
                <w:sz w:val="28"/>
                <w:szCs w:val="28"/>
              </w:rPr>
              <w:t>за рубежом</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B942D2" w:rsidTr="00B942D2">
        <w:tc>
          <w:tcPr>
            <w:tcW w:w="817" w:type="dxa"/>
          </w:tcPr>
          <w:p w:rsidR="00B942D2" w:rsidRPr="00265401" w:rsidRDefault="00B942D2" w:rsidP="00AC4152">
            <w:p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8222" w:type="dxa"/>
          </w:tcPr>
          <w:p w:rsidR="00B942D2" w:rsidRPr="00265401" w:rsidRDefault="00B942D2" w:rsidP="00B942D2">
            <w:pPr>
              <w:jc w:val="both"/>
              <w:rPr>
                <w:rFonts w:ascii="Times New Roman" w:hAnsi="Times New Roman" w:cs="Times New Roman"/>
                <w:sz w:val="28"/>
                <w:szCs w:val="28"/>
              </w:rPr>
            </w:pPr>
            <w:r>
              <w:rPr>
                <w:rFonts w:ascii="Times New Roman" w:hAnsi="Times New Roman" w:cs="Times New Roman"/>
                <w:sz w:val="28"/>
                <w:szCs w:val="28"/>
              </w:rPr>
              <w:t>Заключение</w:t>
            </w:r>
          </w:p>
        </w:tc>
        <w:tc>
          <w:tcPr>
            <w:tcW w:w="532" w:type="dxa"/>
          </w:tcPr>
          <w:p w:rsidR="00B942D2" w:rsidRDefault="00B942D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Pr="00265401" w:rsidRDefault="00B942D2" w:rsidP="00AC4152">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8222" w:type="dxa"/>
          </w:tcPr>
          <w:p w:rsidR="00AC4152" w:rsidRPr="00265401"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Список использованных источников</w:t>
            </w:r>
          </w:p>
        </w:tc>
        <w:tc>
          <w:tcPr>
            <w:tcW w:w="532" w:type="dxa"/>
          </w:tcPr>
          <w:p w:rsidR="00AC4152" w:rsidRDefault="00AC4152" w:rsidP="00AC4152">
            <w:pPr>
              <w:spacing w:line="360" w:lineRule="auto"/>
              <w:jc w:val="center"/>
              <w:rPr>
                <w:rFonts w:ascii="Times New Roman" w:hAnsi="Times New Roman" w:cs="Times New Roman"/>
                <w:sz w:val="28"/>
                <w:szCs w:val="28"/>
              </w:rPr>
            </w:pPr>
          </w:p>
        </w:tc>
      </w:tr>
    </w:tbl>
    <w:p w:rsidR="00265401" w:rsidRDefault="00265401" w:rsidP="00B942D2">
      <w:pPr>
        <w:spacing w:line="360" w:lineRule="auto"/>
        <w:ind w:firstLine="851"/>
        <w:jc w:val="both"/>
        <w:rPr>
          <w:rFonts w:ascii="Times New Roman" w:hAnsi="Times New Roman" w:cs="Times New Roman"/>
          <w:sz w:val="28"/>
          <w:szCs w:val="28"/>
        </w:rPr>
      </w:pPr>
    </w:p>
    <w:p w:rsidR="00265401" w:rsidRDefault="00265401"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AC4152" w:rsidRDefault="00AC415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AC4152" w:rsidRDefault="00AC4152" w:rsidP="00602BC6">
      <w:pPr>
        <w:spacing w:line="360" w:lineRule="auto"/>
        <w:rPr>
          <w:rFonts w:ascii="Times New Roman" w:hAnsi="Times New Roman" w:cs="Times New Roman"/>
          <w:sz w:val="28"/>
          <w:szCs w:val="28"/>
        </w:rPr>
      </w:pPr>
    </w:p>
    <w:p w:rsidR="00AC4152" w:rsidRDefault="00AC4152" w:rsidP="00602BC6">
      <w:pPr>
        <w:spacing w:line="360" w:lineRule="auto"/>
        <w:rPr>
          <w:rFonts w:ascii="Times New Roman" w:hAnsi="Times New Roman" w:cs="Times New Roman"/>
          <w:sz w:val="28"/>
          <w:szCs w:val="28"/>
        </w:rPr>
      </w:pPr>
    </w:p>
    <w:p w:rsidR="00265401" w:rsidRPr="009B4083" w:rsidRDefault="00265401" w:rsidP="009B4083">
      <w:pPr>
        <w:spacing w:after="0" w:line="360" w:lineRule="auto"/>
        <w:ind w:firstLine="709"/>
        <w:rPr>
          <w:rFonts w:ascii="Times New Roman" w:hAnsi="Times New Roman" w:cs="Times New Roman"/>
          <w:sz w:val="28"/>
          <w:szCs w:val="28"/>
        </w:rPr>
      </w:pPr>
      <w:r w:rsidRPr="009B4083">
        <w:rPr>
          <w:rFonts w:ascii="Times New Roman" w:hAnsi="Times New Roman" w:cs="Times New Roman"/>
          <w:sz w:val="28"/>
          <w:szCs w:val="28"/>
        </w:rPr>
        <w:lastRenderedPageBreak/>
        <w:t xml:space="preserve">ВВЕДЕНИЕ </w:t>
      </w:r>
    </w:p>
    <w:p w:rsidR="00AC4152" w:rsidRPr="009B4083" w:rsidRDefault="00AC4152"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 xml:space="preserve">Научно-исследовательская работа (НИР)— это средство повышения уровня подготовки различных специалистов с высшим профессиональным образованием через освоение </w:t>
      </w:r>
      <w:r w:rsidR="003A77D4">
        <w:rPr>
          <w:rFonts w:ascii="Times New Roman" w:hAnsi="Times New Roman" w:cs="Times New Roman"/>
          <w:sz w:val="28"/>
          <w:szCs w:val="28"/>
        </w:rPr>
        <w:t>магистрантами</w:t>
      </w:r>
      <w:r w:rsidRPr="009B4083">
        <w:rPr>
          <w:rFonts w:ascii="Times New Roman" w:hAnsi="Times New Roman" w:cs="Times New Roman"/>
          <w:sz w:val="28"/>
          <w:szCs w:val="28"/>
        </w:rPr>
        <w:t xml:space="preserve"> в процессе обучения учебных планов и сверх них</w:t>
      </w:r>
      <w:r w:rsidR="003A77D4">
        <w:rPr>
          <w:rFonts w:ascii="Times New Roman" w:hAnsi="Times New Roman" w:cs="Times New Roman"/>
          <w:sz w:val="28"/>
          <w:szCs w:val="28"/>
        </w:rPr>
        <w:t xml:space="preserve"> </w:t>
      </w:r>
      <w:r w:rsidRPr="009B4083">
        <w:rPr>
          <w:rFonts w:ascii="Times New Roman" w:hAnsi="Times New Roman" w:cs="Times New Roman"/>
          <w:sz w:val="28"/>
          <w:szCs w:val="28"/>
        </w:rPr>
        <w:t xml:space="preserve"> основ разнонаправленной профессионально-творческой деятельности, методов, а также приемов и выработки навыков индивидуального и совместно-группового выполнения научно-исследовательских работ, развитие самостоятельности, способностей к научному творчеству. </w:t>
      </w:r>
    </w:p>
    <w:p w:rsidR="00AC4152" w:rsidRPr="009B4083" w:rsidRDefault="00AC4152"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К целям НИР относится:</w:t>
      </w:r>
    </w:p>
    <w:p w:rsidR="00AC4152" w:rsidRPr="009B4083" w:rsidRDefault="006D3182" w:rsidP="009B4083">
      <w:pPr>
        <w:numPr>
          <w:ilvl w:val="0"/>
          <w:numId w:val="1"/>
        </w:numPr>
        <w:spacing w:after="0" w:line="360" w:lineRule="auto"/>
        <w:ind w:left="0" w:firstLine="709"/>
        <w:contextualSpacing/>
        <w:jc w:val="both"/>
        <w:rPr>
          <w:rFonts w:ascii="Times New Roman" w:hAnsi="Times New Roman" w:cs="Times New Roman"/>
          <w:sz w:val="28"/>
          <w:szCs w:val="28"/>
        </w:rPr>
      </w:pPr>
      <w:r w:rsidRPr="009B4083">
        <w:rPr>
          <w:rFonts w:ascii="Times New Roman" w:eastAsia="Times New Roman" w:hAnsi="Times New Roman" w:cs="Times New Roman"/>
          <w:color w:val="333333"/>
          <w:sz w:val="28"/>
          <w:szCs w:val="28"/>
          <w:lang w:eastAsia="ru-RU"/>
        </w:rPr>
        <w:t>Подбор и анализ</w:t>
      </w:r>
      <w:r w:rsidR="00214483" w:rsidRPr="009B4083">
        <w:rPr>
          <w:rFonts w:ascii="Times New Roman" w:eastAsia="Times New Roman" w:hAnsi="Times New Roman" w:cs="Times New Roman"/>
          <w:color w:val="333333"/>
          <w:sz w:val="28"/>
          <w:szCs w:val="28"/>
          <w:lang w:eastAsia="ru-RU"/>
        </w:rPr>
        <w:t xml:space="preserve"> литературы </w:t>
      </w:r>
      <w:r w:rsidR="00AC4152" w:rsidRPr="009B4083">
        <w:rPr>
          <w:rFonts w:ascii="Times New Roman" w:hAnsi="Times New Roman" w:cs="Times New Roman"/>
          <w:sz w:val="28"/>
          <w:szCs w:val="28"/>
        </w:rPr>
        <w:t xml:space="preserve">по </w:t>
      </w:r>
      <w:r w:rsidR="00AC4152" w:rsidRPr="009B4083">
        <w:rPr>
          <w:rFonts w:ascii="Times New Roman" w:eastAsia="Times New Roman" w:hAnsi="Times New Roman" w:cs="Times New Roman"/>
          <w:color w:val="333333"/>
          <w:sz w:val="28"/>
          <w:szCs w:val="28"/>
          <w:lang w:eastAsia="ru-RU"/>
        </w:rPr>
        <w:t>теоретическим вопросам в сфере государственно-частного партнерства в строительстве</w:t>
      </w:r>
      <w:r w:rsidRPr="009B4083">
        <w:rPr>
          <w:rFonts w:ascii="Times New Roman" w:eastAsia="Times New Roman" w:hAnsi="Times New Roman" w:cs="Times New Roman"/>
          <w:color w:val="333333"/>
          <w:sz w:val="28"/>
          <w:szCs w:val="28"/>
          <w:lang w:eastAsia="ru-RU"/>
        </w:rPr>
        <w:t xml:space="preserve">, </w:t>
      </w:r>
      <w:r w:rsidRPr="009B4083">
        <w:rPr>
          <w:rFonts w:ascii="Times New Roman" w:hAnsi="Times New Roman" w:cs="Times New Roman"/>
          <w:sz w:val="28"/>
          <w:szCs w:val="28"/>
        </w:rPr>
        <w:t>реализации государственно-частного партнерства в транспортном строительстве в России и за рубежом</w:t>
      </w:r>
      <w:r w:rsidR="00AC4152" w:rsidRPr="009B4083">
        <w:rPr>
          <w:rFonts w:ascii="Times New Roman" w:hAnsi="Times New Roman" w:cs="Times New Roman"/>
          <w:sz w:val="28"/>
          <w:szCs w:val="28"/>
        </w:rPr>
        <w:t>;</w:t>
      </w:r>
    </w:p>
    <w:p w:rsidR="00214483" w:rsidRPr="009B4083" w:rsidRDefault="006D3182" w:rsidP="009B4083">
      <w:pPr>
        <w:numPr>
          <w:ilvl w:val="0"/>
          <w:numId w:val="1"/>
        </w:numPr>
        <w:spacing w:after="0" w:line="360" w:lineRule="auto"/>
        <w:ind w:left="0" w:firstLine="709"/>
        <w:contextualSpacing/>
        <w:jc w:val="both"/>
        <w:rPr>
          <w:rFonts w:ascii="Times New Roman" w:hAnsi="Times New Roman" w:cs="Times New Roman"/>
          <w:sz w:val="28"/>
          <w:szCs w:val="28"/>
        </w:rPr>
      </w:pPr>
      <w:r w:rsidRPr="009B4083">
        <w:rPr>
          <w:rFonts w:ascii="Times New Roman" w:hAnsi="Times New Roman" w:cs="Times New Roman"/>
          <w:sz w:val="28"/>
          <w:szCs w:val="28"/>
        </w:rPr>
        <w:t xml:space="preserve">Поиск, анализ и систематизация информации о </w:t>
      </w:r>
      <w:r w:rsidR="00B87BF8" w:rsidRPr="009B4083">
        <w:rPr>
          <w:rFonts w:ascii="Times New Roman" w:eastAsia="Times New Roman" w:hAnsi="Times New Roman" w:cs="Times New Roman"/>
          <w:color w:val="333333"/>
          <w:sz w:val="28"/>
          <w:szCs w:val="28"/>
          <w:lang w:eastAsia="ru-RU"/>
        </w:rPr>
        <w:t>государственно-частном партнерстве в строительстве, особенностях реализации государственно-частного партнерства в транспортном строительстве в России и за рубежом</w:t>
      </w:r>
      <w:r w:rsidR="00B87BF8" w:rsidRPr="009B4083">
        <w:rPr>
          <w:rFonts w:ascii="Times New Roman" w:eastAsia="Times New Roman" w:hAnsi="Times New Roman" w:cs="Times New Roman"/>
          <w:sz w:val="28"/>
          <w:szCs w:val="28"/>
          <w:lang w:eastAsia="ru-RU"/>
        </w:rPr>
        <w:t>;</w:t>
      </w:r>
      <w:r w:rsidR="00B87BF8" w:rsidRPr="009B4083">
        <w:rPr>
          <w:rFonts w:ascii="Times New Roman" w:hAnsi="Times New Roman" w:cs="Times New Roman"/>
          <w:sz w:val="28"/>
          <w:szCs w:val="28"/>
        </w:rPr>
        <w:t xml:space="preserve">  </w:t>
      </w:r>
    </w:p>
    <w:p w:rsidR="00214483" w:rsidRPr="009B4083" w:rsidRDefault="00214483"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Направление научно-исследовательских работ студента-магистранта строится на основе темы магистерской диссертации.</w:t>
      </w:r>
    </w:p>
    <w:p w:rsidR="00214483" w:rsidRPr="009B4083" w:rsidRDefault="00214483"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Задачами производственной практики НИР являются:</w:t>
      </w:r>
    </w:p>
    <w:p w:rsidR="00214483" w:rsidRPr="009B4083" w:rsidRDefault="00214483" w:rsidP="009B4083">
      <w:pPr>
        <w:numPr>
          <w:ilvl w:val="0"/>
          <w:numId w:val="2"/>
        </w:numPr>
        <w:spacing w:after="0" w:line="360" w:lineRule="auto"/>
        <w:ind w:left="0" w:firstLine="709"/>
        <w:contextualSpacing/>
        <w:jc w:val="both"/>
        <w:rPr>
          <w:rFonts w:ascii="Times New Roman" w:hAnsi="Times New Roman" w:cs="Times New Roman"/>
          <w:sz w:val="28"/>
          <w:szCs w:val="28"/>
        </w:rPr>
      </w:pPr>
      <w:r w:rsidRPr="009B4083">
        <w:rPr>
          <w:rFonts w:ascii="Times New Roman" w:hAnsi="Times New Roman" w:cs="Times New Roman"/>
          <w:sz w:val="28"/>
          <w:szCs w:val="28"/>
        </w:rPr>
        <w:t xml:space="preserve">практическое использование знаний по </w:t>
      </w:r>
      <w:r w:rsidRPr="009B4083">
        <w:rPr>
          <w:rFonts w:ascii="Times New Roman" w:eastAsia="Times New Roman" w:hAnsi="Times New Roman" w:cs="Times New Roman"/>
          <w:color w:val="333333"/>
          <w:sz w:val="28"/>
          <w:szCs w:val="28"/>
          <w:lang w:eastAsia="ru-RU"/>
        </w:rPr>
        <w:t>вопросам в сфере государственно-частного партнерства в строительстве</w:t>
      </w:r>
      <w:r w:rsidRPr="009B4083">
        <w:rPr>
          <w:rFonts w:ascii="Times New Roman" w:hAnsi="Times New Roman" w:cs="Times New Roman"/>
          <w:sz w:val="28"/>
          <w:szCs w:val="28"/>
        </w:rPr>
        <w:t>;</w:t>
      </w:r>
    </w:p>
    <w:p w:rsidR="00951991" w:rsidRPr="009B4083" w:rsidRDefault="00214483" w:rsidP="009B4083">
      <w:pPr>
        <w:numPr>
          <w:ilvl w:val="0"/>
          <w:numId w:val="2"/>
        </w:numPr>
        <w:spacing w:after="0" w:line="360" w:lineRule="auto"/>
        <w:ind w:left="0" w:firstLine="709"/>
        <w:contextualSpacing/>
        <w:jc w:val="both"/>
        <w:rPr>
          <w:rFonts w:ascii="Times New Roman" w:hAnsi="Times New Roman" w:cs="Times New Roman"/>
          <w:sz w:val="28"/>
          <w:szCs w:val="28"/>
        </w:rPr>
      </w:pPr>
      <w:r w:rsidRPr="009B4083">
        <w:rPr>
          <w:rFonts w:ascii="Times New Roman" w:hAnsi="Times New Roman" w:cs="Times New Roman"/>
          <w:sz w:val="28"/>
          <w:szCs w:val="28"/>
        </w:rPr>
        <w:t>укрепление способностей определения</w:t>
      </w:r>
      <w:r w:rsidR="00951991" w:rsidRPr="009B4083">
        <w:rPr>
          <w:rFonts w:ascii="Times New Roman" w:hAnsi="Times New Roman" w:cs="Times New Roman"/>
          <w:sz w:val="28"/>
          <w:szCs w:val="28"/>
        </w:rPr>
        <w:t xml:space="preserve"> актуальности, теоретической и практической значимости государственно-частного партнерства в строительстве, выявление особенностей реализации государственно-частного партнерства в транспортном строительстве в России и за рубежом;</w:t>
      </w:r>
    </w:p>
    <w:p w:rsidR="00214483" w:rsidRPr="009B4083" w:rsidRDefault="006D3182" w:rsidP="009B4083">
      <w:pPr>
        <w:numPr>
          <w:ilvl w:val="0"/>
          <w:numId w:val="1"/>
        </w:numPr>
        <w:spacing w:after="0" w:line="360" w:lineRule="auto"/>
        <w:ind w:left="0" w:firstLine="709"/>
        <w:contextualSpacing/>
        <w:jc w:val="both"/>
        <w:rPr>
          <w:rFonts w:ascii="Times New Roman" w:eastAsia="Times New Roman" w:hAnsi="Times New Roman" w:cs="Times New Roman"/>
          <w:color w:val="333333"/>
          <w:sz w:val="28"/>
          <w:szCs w:val="28"/>
          <w:lang w:eastAsia="ru-RU"/>
        </w:rPr>
      </w:pPr>
      <w:r w:rsidRPr="009B4083">
        <w:rPr>
          <w:rFonts w:ascii="Times New Roman" w:eastAsia="Times New Roman" w:hAnsi="Times New Roman" w:cs="Times New Roman"/>
          <w:color w:val="333333"/>
          <w:sz w:val="28"/>
          <w:szCs w:val="28"/>
          <w:lang w:eastAsia="ru-RU"/>
        </w:rPr>
        <w:t xml:space="preserve">развитие навыков </w:t>
      </w:r>
      <w:r w:rsidR="00951991" w:rsidRPr="009B4083">
        <w:rPr>
          <w:rFonts w:ascii="Times New Roman" w:eastAsia="Times New Roman" w:hAnsi="Times New Roman" w:cs="Times New Roman"/>
          <w:color w:val="333333"/>
          <w:sz w:val="28"/>
          <w:szCs w:val="28"/>
          <w:lang w:eastAsia="ru-RU"/>
        </w:rPr>
        <w:t>проводить самостоятельные исследования в соответствии с разработанной программой, обобщать и критически оценивать научные исследования в экономике</w:t>
      </w:r>
      <w:r w:rsidRPr="009B4083">
        <w:rPr>
          <w:rFonts w:ascii="Times New Roman" w:eastAsia="Times New Roman" w:hAnsi="Times New Roman" w:cs="Times New Roman"/>
          <w:color w:val="333333"/>
          <w:sz w:val="28"/>
          <w:szCs w:val="28"/>
          <w:lang w:eastAsia="ru-RU"/>
        </w:rPr>
        <w:t>;</w:t>
      </w:r>
    </w:p>
    <w:p w:rsidR="006D3182" w:rsidRPr="009B4083" w:rsidRDefault="006D3182" w:rsidP="009B4083">
      <w:pPr>
        <w:numPr>
          <w:ilvl w:val="0"/>
          <w:numId w:val="1"/>
        </w:numPr>
        <w:spacing w:after="0" w:line="360" w:lineRule="auto"/>
        <w:ind w:left="0" w:firstLine="709"/>
        <w:contextualSpacing/>
        <w:jc w:val="both"/>
        <w:rPr>
          <w:rFonts w:ascii="Times New Roman" w:eastAsia="Times New Roman" w:hAnsi="Times New Roman" w:cs="Times New Roman"/>
          <w:color w:val="333333"/>
          <w:sz w:val="28"/>
          <w:szCs w:val="28"/>
          <w:lang w:eastAsia="ru-RU"/>
        </w:rPr>
      </w:pPr>
      <w:r w:rsidRPr="009B4083">
        <w:rPr>
          <w:rFonts w:ascii="Times New Roman" w:eastAsia="Times New Roman" w:hAnsi="Times New Roman" w:cs="Times New Roman"/>
          <w:color w:val="333333"/>
          <w:sz w:val="28"/>
          <w:szCs w:val="28"/>
          <w:lang w:eastAsia="ru-RU"/>
        </w:rPr>
        <w:t xml:space="preserve">развитие навыков обобщать и критически оценивать результаты, полученные отечественными и зарубежными исследователями, выявлять </w:t>
      </w:r>
      <w:r w:rsidR="00B942D2">
        <w:rPr>
          <w:rFonts w:ascii="Times New Roman" w:eastAsia="Times New Roman" w:hAnsi="Times New Roman" w:cs="Times New Roman"/>
          <w:color w:val="333333"/>
          <w:sz w:val="28"/>
          <w:szCs w:val="28"/>
          <w:lang w:eastAsia="ru-RU"/>
        </w:rPr>
        <w:t>.</w:t>
      </w:r>
      <w:r w:rsidRPr="009B4083">
        <w:rPr>
          <w:rFonts w:ascii="Times New Roman" w:eastAsia="Times New Roman" w:hAnsi="Times New Roman" w:cs="Times New Roman"/>
          <w:color w:val="333333"/>
          <w:sz w:val="28"/>
          <w:szCs w:val="28"/>
          <w:lang w:eastAsia="ru-RU"/>
        </w:rPr>
        <w:t>перспективные направления в сфере государственно-частного партнерства в строительстве;</w:t>
      </w:r>
    </w:p>
    <w:p w:rsidR="00214483" w:rsidRPr="009B4083" w:rsidRDefault="006D3182" w:rsidP="009B4083">
      <w:pPr>
        <w:numPr>
          <w:ilvl w:val="0"/>
          <w:numId w:val="1"/>
        </w:numPr>
        <w:spacing w:after="0" w:line="360" w:lineRule="auto"/>
        <w:ind w:left="0" w:firstLine="709"/>
        <w:contextualSpacing/>
        <w:jc w:val="both"/>
        <w:rPr>
          <w:rFonts w:ascii="Times New Roman" w:eastAsia="Times New Roman" w:hAnsi="Times New Roman" w:cs="Times New Roman"/>
          <w:color w:val="333333"/>
          <w:sz w:val="28"/>
          <w:szCs w:val="28"/>
          <w:lang w:eastAsia="ru-RU"/>
        </w:rPr>
      </w:pPr>
      <w:r w:rsidRPr="009B4083">
        <w:rPr>
          <w:rFonts w:ascii="Times New Roman" w:eastAsia="Times New Roman" w:hAnsi="Times New Roman" w:cs="Times New Roman"/>
          <w:color w:val="333333"/>
          <w:sz w:val="28"/>
          <w:szCs w:val="28"/>
          <w:lang w:eastAsia="ru-RU"/>
        </w:rPr>
        <w:t xml:space="preserve">развитие навыков представлять результаты проведенного исследования научному сообществу в виде статьи или доклада. </w:t>
      </w:r>
    </w:p>
    <w:p w:rsidR="009B4083" w:rsidRPr="009B4083" w:rsidRDefault="00BD6E95" w:rsidP="009B4083">
      <w:pPr>
        <w:spacing w:after="0" w:line="360" w:lineRule="auto"/>
        <w:ind w:firstLine="708"/>
        <w:jc w:val="both"/>
        <w:rPr>
          <w:rFonts w:ascii="Times New Roman" w:hAnsi="Times New Roman" w:cs="Times New Roman"/>
          <w:color w:val="383838"/>
          <w:sz w:val="28"/>
          <w:szCs w:val="28"/>
          <w:shd w:val="clear" w:color="auto" w:fill="FFFFFF"/>
        </w:rPr>
      </w:pPr>
      <w:r w:rsidRPr="009B4083">
        <w:rPr>
          <w:rFonts w:ascii="Times New Roman" w:hAnsi="Times New Roman" w:cs="Times New Roman"/>
          <w:sz w:val="28"/>
          <w:szCs w:val="28"/>
        </w:rPr>
        <w:t xml:space="preserve">Актуальность моей темы: ««Анализ теоретических вопросов в сфере государственно-частного партнерства в строительстве и выявление особенностей реализации государственно-частного партнерства в транспортном строительстве в России и за рубежом»  </w:t>
      </w:r>
      <w:r w:rsidRPr="009B4083">
        <w:rPr>
          <w:rFonts w:ascii="Times New Roman" w:hAnsi="Times New Roman" w:cs="Times New Roman"/>
          <w:color w:val="383838"/>
          <w:sz w:val="28"/>
          <w:szCs w:val="28"/>
          <w:shd w:val="clear" w:color="auto" w:fill="FFFFFF"/>
        </w:rPr>
        <w:t>определяется значением государственно-частного партнерства (далее – ГЧП) в экономике страны</w:t>
      </w:r>
      <w:r w:rsidR="009B4083" w:rsidRPr="009B4083">
        <w:rPr>
          <w:rFonts w:ascii="Times New Roman" w:hAnsi="Times New Roman" w:cs="Times New Roman"/>
          <w:color w:val="383838"/>
          <w:sz w:val="28"/>
          <w:szCs w:val="28"/>
          <w:shd w:val="clear" w:color="auto" w:fill="FFFFFF"/>
        </w:rPr>
        <w:t>.</w:t>
      </w:r>
    </w:p>
    <w:p w:rsidR="009B4083" w:rsidRPr="009B4083" w:rsidRDefault="00BD6E95" w:rsidP="009B4083">
      <w:pPr>
        <w:spacing w:after="0" w:line="360" w:lineRule="auto"/>
        <w:ind w:firstLine="708"/>
        <w:jc w:val="both"/>
        <w:rPr>
          <w:rFonts w:ascii="Times New Roman" w:hAnsi="Times New Roman" w:cs="Times New Roman"/>
          <w:color w:val="383838"/>
          <w:sz w:val="28"/>
          <w:szCs w:val="28"/>
          <w:shd w:val="clear" w:color="auto" w:fill="FFFFFF"/>
        </w:rPr>
      </w:pPr>
      <w:r w:rsidRPr="009B4083">
        <w:rPr>
          <w:rFonts w:ascii="Times New Roman" w:hAnsi="Times New Roman" w:cs="Times New Roman"/>
          <w:color w:val="383838"/>
          <w:sz w:val="28"/>
          <w:szCs w:val="28"/>
          <w:shd w:val="clear" w:color="auto" w:fill="FFFFFF"/>
        </w:rPr>
        <w:t xml:space="preserve">ГЧП позволяет осуществлять общественно значимые проекты, сосредоточивая большой объем ресурсов в регионе, со справедливым распределением рисков между публичным и частным партнерами. Публичный партнер (государство в лице его федеральных, региональных и муниципальных органов) заинтересован в привлечении индивидуальных предпринимателей, российских и отечественных юридических лиц для реализации инфраструктурных проектов в рамках ГЧП: по расчетам Всемирного банка 10% увеличение финансовых вложений в инфраструктуру обеспечивает 1% рост экономики. Поэтому развитие института ГЧП законодательно закреплено как один из механизмов реализации Концепции долгосрочного социально-экономического развития России до 2020 г.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Неразвитость инфраструктуры препятствует экономическому развитию страны, негативно влияет на качество оказываемых населению услуг, снижает темпы роста предпринимательской активности. Согласно проведенным исследованиям, рост инвестиций в инфраструктуру оказывает наибольшее влияние на благосостояние бедных слоев населения, чей уровень доходов с улучшением инфраструктурной обеспеченности увеличивается быстрее, чем растут общие доходы населения. Большинство стран мира, не зависимо от уровня развитости их экономик, стараются реализовывать инфраструктурные проекты с привлечением внебюджетных средств и частных инвесторов, что значительно снижает нагрузку на бюджет и повышает качество и эффективность эксплуатации инфраструктурных объектов. Государственно-частное партнерство (ГЧП) является одним из наиболее распространенных инструментов привлечения частных инвестиций в инфраструктурные проекты. Государственно-частное партнерство не является универсальным решением всех проблем развития инфраструктуры в стране, однако механизмы ГЧП в ряде случаев способны значительно повысить эффективность государственных расходов и качество предоставляемых населению услуг. </w:t>
      </w:r>
    </w:p>
    <w:p w:rsidR="009B4083" w:rsidRPr="009B4083" w:rsidRDefault="009B4083" w:rsidP="009B4083">
      <w:pPr>
        <w:spacing w:after="0" w:line="360" w:lineRule="auto"/>
        <w:ind w:firstLine="708"/>
        <w:jc w:val="both"/>
        <w:rPr>
          <w:rFonts w:ascii="Times New Roman" w:eastAsia="Times New Roman" w:hAnsi="Times New Roman" w:cs="Times New Roman"/>
          <w:color w:val="000000"/>
          <w:sz w:val="28"/>
          <w:szCs w:val="28"/>
          <w:lang w:eastAsia="ru-RU"/>
        </w:rPr>
      </w:pPr>
      <w:r w:rsidRPr="009B4083">
        <w:rPr>
          <w:rFonts w:ascii="Times New Roman" w:eastAsia="Times New Roman" w:hAnsi="Times New Roman" w:cs="Times New Roman"/>
          <w:color w:val="333333"/>
          <w:sz w:val="28"/>
          <w:szCs w:val="28"/>
          <w:lang w:eastAsia="ru-RU"/>
        </w:rPr>
        <w:t>Целью написания работы является</w:t>
      </w:r>
      <w:r w:rsidRPr="009B4083">
        <w:rPr>
          <w:rFonts w:ascii="Times New Roman" w:hAnsi="Times New Roman" w:cs="Times New Roman"/>
          <w:sz w:val="28"/>
          <w:szCs w:val="28"/>
        </w:rPr>
        <w:t xml:space="preserve"> </w:t>
      </w:r>
      <w:r w:rsidRPr="009B4083">
        <w:rPr>
          <w:rFonts w:ascii="Times New Roman" w:eastAsia="Times New Roman" w:hAnsi="Times New Roman" w:cs="Times New Roman"/>
          <w:color w:val="333333"/>
          <w:sz w:val="28"/>
          <w:szCs w:val="28"/>
          <w:lang w:eastAsia="ru-RU"/>
        </w:rPr>
        <w:t>выявление особенности реализации государственно-частного партнерства в транспортном строительстве в России и за рубежом</w:t>
      </w:r>
      <w:r w:rsidRPr="009B4083">
        <w:rPr>
          <w:rFonts w:ascii="Times New Roman" w:hAnsi="Times New Roman" w:cs="Times New Roman"/>
          <w:sz w:val="28"/>
          <w:szCs w:val="28"/>
        </w:rPr>
        <w:t xml:space="preserve">.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color w:val="000000"/>
          <w:sz w:val="28"/>
          <w:szCs w:val="28"/>
        </w:rPr>
        <w:t>Для достижения поставленной цели в работе сформулированы следующие задачи:</w:t>
      </w:r>
      <w:r w:rsidRPr="009B4083">
        <w:rPr>
          <w:rFonts w:ascii="Times New Roman" w:hAnsi="Times New Roman" w:cs="Times New Roman"/>
          <w:sz w:val="28"/>
          <w:szCs w:val="28"/>
        </w:rPr>
        <w:t xml:space="preserve">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 изучить теоретические  материалы по теме ГЧП;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 проанализировать  и систематизировать информацию о ГЧП в строительстве,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 - выявить особенности реализации государственно-частного партнерства в транспортном строительстве в России и за рубежом проблемы, препятствующие развитию ГЧП в России.</w:t>
      </w:r>
    </w:p>
    <w:p w:rsidR="009B4083" w:rsidRPr="009B4083" w:rsidRDefault="009B4083" w:rsidP="009B4083">
      <w:pPr>
        <w:spacing w:after="0" w:line="360" w:lineRule="auto"/>
        <w:ind w:firstLine="708"/>
        <w:jc w:val="both"/>
        <w:rPr>
          <w:rFonts w:ascii="Times New Roman" w:hAnsi="Times New Roman" w:cs="Times New Roman"/>
          <w:color w:val="000000"/>
          <w:sz w:val="28"/>
          <w:szCs w:val="28"/>
        </w:rPr>
      </w:pPr>
      <w:r w:rsidRPr="009B4083">
        <w:rPr>
          <w:rFonts w:ascii="Times New Roman" w:hAnsi="Times New Roman" w:cs="Times New Roman"/>
          <w:sz w:val="28"/>
          <w:szCs w:val="28"/>
        </w:rPr>
        <w:t xml:space="preserve">При решении поставленных задач будут использоваться следующие модели и методы: методы эмпирического исследование, такие как сравнение и описание; методы теоретического познания – анализ, классификация; </w:t>
      </w:r>
      <w:proofErr w:type="spellStart"/>
      <w:r w:rsidRPr="009B4083">
        <w:rPr>
          <w:rFonts w:ascii="Times New Roman" w:hAnsi="Times New Roman" w:cs="Times New Roman"/>
          <w:sz w:val="28"/>
          <w:szCs w:val="28"/>
        </w:rPr>
        <w:t>общелогические</w:t>
      </w:r>
      <w:proofErr w:type="spellEnd"/>
      <w:r w:rsidRPr="009B4083">
        <w:rPr>
          <w:rFonts w:ascii="Times New Roman" w:hAnsi="Times New Roman" w:cs="Times New Roman"/>
          <w:sz w:val="28"/>
          <w:szCs w:val="28"/>
        </w:rPr>
        <w:t xml:space="preserve"> методы и приёмы исследования – моделирование, аналогия, системный подход.</w:t>
      </w:r>
      <w:r w:rsidRPr="009B4083">
        <w:rPr>
          <w:rFonts w:ascii="Times New Roman" w:hAnsi="Times New Roman" w:cs="Times New Roman"/>
          <w:color w:val="000000"/>
          <w:sz w:val="28"/>
          <w:szCs w:val="28"/>
        </w:rPr>
        <w:t xml:space="preserve">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1 Теоретические основы государственно-частного партнерства в России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1.1 Понятие, структура и основы госу</w:t>
      </w:r>
      <w:r>
        <w:rPr>
          <w:rFonts w:ascii="Times New Roman" w:hAnsi="Times New Roman" w:cs="Times New Roman"/>
          <w:sz w:val="28"/>
          <w:szCs w:val="28"/>
        </w:rPr>
        <w:t>дарственно-частного партнерства</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Государство и власть – сложные и многоплановые явления, которые и в сознание, и в жизни людей, общества отражаются различными гранями и аспектами в зависимости от той роли, которую они играют. С течением времени роль государства и его властных полномочий постоянно увеличивалась по мере развития общества, дифференциации социальных связей и появления разных видов деятельности и производства, возникновения нематериального производства, специализации функций и разделения труда, совершенствования знаний и навыков, возникновения различий общественного и индивидуального интересов, прав и обязанностей, а также социального неравенства и частной собственности. Собственность всегда была краеугольным камнем отношений внутри государства. Как разделять сферу функционирования государства и личный интерес? Власть государства и власть собственника? Что должно делать государство, а что владельцы частного капитала? В разные времена на эти вопросы давались разные ответы. С увеличением доли частной собственности возрастает и её роль в функционировании государства и всех его институтов. Осознание этой роли привело к возникновению уже в двадцатом веке концепта государственно-частного партнёрства. Как известно, государство предоставляет общественно значимые блага и услуги. Часть этих благ оно может производить с помощью собственных средств, ресурсов и полномочий, а остальное, путем привлечения возможностей, знаний и способностей владельцев частного капитала. Бизнес как бы приглашается в управление государственными активами для повышения качества реализации государственных проектов. 6 Если исходить из широкого понимания государственно-частного партнерства как конструктивного взаимодействия власти и бизнеса не только в экономике, но и других сферах общественной жизни – политике, культуре, науке, здравоохранении и других областях деятельности, то в этом случае можно согласиться с принятым за рубежом понятием ГЧП как любых форм партнерства государства и предпринимательского корпуса. При этом передача полномочий органов власти и управления не ограничивается лишь правами собственности, а включает в себя и делегирование некоторых функций принятия решений в ходе экспертиз, консультаций и совместной разработки нормативно-правовых актов, проектов и целевых программ [1]. В российском законодательстве ГЧП определяется как – юридически оформленное на определенный срок и основанное на объединении ресурсов, распределении рисков сотрудничество публичного партнера, с одной стороны, и частного партнера, с другой стороны, которое осуществляется на основании соглашения о государственно-частном партнерстве, заключенном в соответствии с федеральным законом в целях привлечения в экономику частных инвестиций, обеспечения органами государственной власти доступности товаров, работ, услуг и повышения их качества. Таким образом, ГЧП представляет собой взаимовыгодное сотрудничество между государством и бизнесом, которое реализуется в различных формах (начиная от контрактов на выполнение работ, акционирования и заканчивая консультациями государства и бизнес-ассоциаций) и которое ставит своей целью решение политических, экономических и общественно значимых задач на национальном, региональном и местном уровнях. Поэтому сущность проектов ГЧП заключается в передаче некоторых прав и функций общественного сектора по строительству, реконструкции, модернизации, обслуживанию и эксплуатации объектов инфраструктуры частному сектору. Объектом ГЧП могут быть любые функции публичного сектора (например, публичные, общественные или государственные услуги), выполнение которых закрепляется за частной стороной. 7 ГЧП интегрирует два рода деятельности: инвестиции в объекты инфраструктуры и оказание услуг с помощью данных объектов либо их эксплуатации. В связи с этим в проектах ГЧП выделяются два этапа: - «затратный этап», в течение которого частная и публичная стороны инвестируют денежные средства в объекты инфраструктуры (и иные объекты, которые связанны с функционированием общественного сектора); - «доходный этап», в течение которого осуществляется оказание услуг при помощи данных объектов инфраструктуры и возврат инвестиций. Наличие «доходного этапа» является основным отличием проектов ГЧП от государственного заказа. При этом, источником доходов по проекту ГЧП может быть, как выручка от оказания услуг частным лицам, так и платежи из бюджета. ГЧП имеет долгосрочный характер. Долгосрочный характер реализации проектов ГЧП вытекает из необходимости возврата денежных средств, вложенных бизнесом (в отличие от государственного заказа). Средний срок реализации проектов ГЧП составляет более 10 лет: при этом самым продолжительным является «доходный этап», в то время как «затратный» сравним по срокам с государственным заказом. Государственно-частное партнерство в России, в соответствии с законодательством, основано на следующих принципах [6]: - открытость и доступность информации о государственно-частном партнерстве, за исключением сведений, составляющих государственную тайну и иную охраняемую законом тайну; - обеспечение конкуренции; - отсутствие дискриминации, равноправие сторон соглашения и равенство их перед законом; - добросовестное исполнение сторонами соглашения обязательств по соглашению; - справедливое распределение рисков и обязательств между сторонами соглашения; 8 - свобода заключения соглашения. Разделение рисков является обязательным условием в отношениях ГЧП. Но поиск оптимального распределения рисков, которые зависят от специфики проекта ГЧП (отрасль, тип соглашения, условия финансирования и иное) представляет большую сложность. Общее правило гласит – каждый риск по проекту несет та сторона, которая способна наилучшим образом им управлять. Сложность в осуществлении этого правила заключается в том, что, с одной стороны, бизнес стремится максимизировать доход и поэтому склонен недооценивать риски проекта; с другой стороны, публичный орган стремится снизить ответственность и поэтому будет завышать риски, передаваемые частному партнеру (обратная зависимость). Необходимость поиска оптимального распределения рисков увеличивает значение </w:t>
      </w:r>
      <w:proofErr w:type="spellStart"/>
      <w:r w:rsidRPr="00265401">
        <w:rPr>
          <w:rFonts w:ascii="Times New Roman" w:hAnsi="Times New Roman" w:cs="Times New Roman"/>
          <w:sz w:val="28"/>
          <w:szCs w:val="28"/>
        </w:rPr>
        <w:t>предпроектной</w:t>
      </w:r>
      <w:proofErr w:type="spellEnd"/>
      <w:r w:rsidRPr="00265401">
        <w:rPr>
          <w:rFonts w:ascii="Times New Roman" w:hAnsi="Times New Roman" w:cs="Times New Roman"/>
          <w:sz w:val="28"/>
          <w:szCs w:val="28"/>
        </w:rPr>
        <w:t xml:space="preserve"> подготовки проекта ГЧП по сравнению с государственным заказом. Каждая из сторон проекта вносит свой вклад в развитие общего проекта. Например, бизнес обеспечивает финансовые ресурсы, профессиональный опыт, гибкость, оперативную адаптацию и быстроту в принятии решений, проявляет эффективное управление, новаторские способности. При этом внедряются новые технологии в производство и способы управления при реализации проектов, также налаживаются выгодные связи с поставщиками и подрядчиками, что повышает спрос высококвалифицированных кадров на рынке труда. ГЧП предполагает выполнение частным партнером двух и более из следующих функций: проектирование; финансирование; строительство; реконструкция; модернизация; эксплуатация; техническое обслуживание. Частный партнер также вправе выполнять другие функции, связанные с деятельностью, предусмотренной соглашением о государственно-частном партнерстве. Государство же обеспечивает правомочия собственности, предоставляет всевозможные гарантии и льготы, и, конечно, финансовые ресурсы. При ГЧП 9 государство развивает свои основные функции такие как контроль, регулирование, соблюдение общественных интересов. Что касается заинтересованности каждого из участников проекта в ГЧП, то интерес бизнеса обусловлен стремлением к максимизации прибыли от реализации проектов, т.к. обладая производственной и хозяйственной свободой в проекте, предоставляемой государством, частный сектор стремится к увеличению производительности труда и эффективным нововведениям. Также бизнес, при неудачном стечении обстоятельств или воздействии неблагоприятных внешних факторов при реализации проекта, получает достаточные гарантии возврата вложенных средств в проект, т.к. государство обязано нести определенные риски (согласно договоренностям сторон). В некоторых случаях, при высококачественном обслуживании или опережении сроков государство доплачивает своему партнеру. И последнее, частный сектор получает в долговременное управление и пользование активы государства на льготных условиях платы. Заинтересованность же государства состоит в том, что оно может переложить часть расходов по содержанию и инвестированию имущества, а также некоторые функции на бизнес-партнера. Так же, за счет арендных и концессионных платежей, государственные структуры и органы получают дополнительный источник доходов в бюджет. Несмотря на все выгоды для государства и бизнеса, главной целью ГЧП является улучшение благосостояния населения. В число положительных сторон государственно-частного партнерства относится повышение качества товаров и предоставляемых услуг, а также решаются социальные и экономические проблемы. И теперь уже высвобожденные средства государство может расходовать на решение других более значимых задач, достижение социально важных целей и выполнение своих первоочередных функций. 10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1.2 Организационно-правовые формы и принципы </w:t>
      </w:r>
      <w:proofErr w:type="spellStart"/>
      <w:r w:rsidRPr="00265401">
        <w:rPr>
          <w:rFonts w:ascii="Times New Roman" w:hAnsi="Times New Roman" w:cs="Times New Roman"/>
          <w:sz w:val="28"/>
          <w:szCs w:val="28"/>
        </w:rPr>
        <w:t>государственногочастного</w:t>
      </w:r>
      <w:proofErr w:type="spellEnd"/>
      <w:r w:rsidRPr="00265401">
        <w:rPr>
          <w:rFonts w:ascii="Times New Roman" w:hAnsi="Times New Roman" w:cs="Times New Roman"/>
          <w:sz w:val="28"/>
          <w:szCs w:val="28"/>
        </w:rPr>
        <w:t xml:space="preserve"> партнерства в России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Государственно-частное партнерство является одним из способов развития общественной инфраструктуры, основанный на долгосрочном взаимодействии государства и бизнеса, при котором частная сторона (бизнес) участвует не только в создании (проектировании, финансировании, строительстве/реконструкции) объекта инфраструктуры, но и в его последующей эксплуатации и/или техническом обслуживании в интересах публичной стороны [4]. То есть ГЧП позволяет публичному партнеру полностью или частично переложить на частного партнера обязательства по финансированию создания объекта инфраструктуры, разделить или полностью передать частному партнеру риски удорожания строительства, качества проведенных строительных работ, несоблюдения сроков ввода объекта в эксплуатацию, качества технического обслуживания, риски выручки и прочее. В Российской Федерации законодательство о ГЧП на федеральном уровне состоит из: федерального закона от 13.07.2015 № 224-ФЗ «О </w:t>
      </w:r>
      <w:proofErr w:type="spellStart"/>
      <w:r w:rsidRPr="00265401">
        <w:rPr>
          <w:rFonts w:ascii="Times New Roman" w:hAnsi="Times New Roman" w:cs="Times New Roman"/>
          <w:sz w:val="28"/>
          <w:szCs w:val="28"/>
        </w:rPr>
        <w:t>государственночастном</w:t>
      </w:r>
      <w:proofErr w:type="spellEnd"/>
      <w:r w:rsidRPr="00265401">
        <w:rPr>
          <w:rFonts w:ascii="Times New Roman" w:hAnsi="Times New Roman" w:cs="Times New Roman"/>
          <w:sz w:val="28"/>
          <w:szCs w:val="28"/>
        </w:rPr>
        <w:t xml:space="preserve"> партнерстве, </w:t>
      </w:r>
      <w:proofErr w:type="spellStart"/>
      <w:r w:rsidRPr="00265401">
        <w:rPr>
          <w:rFonts w:ascii="Times New Roman" w:hAnsi="Times New Roman" w:cs="Times New Roman"/>
          <w:sz w:val="28"/>
          <w:szCs w:val="28"/>
        </w:rPr>
        <w:t>муниципально</w:t>
      </w:r>
      <w:proofErr w:type="spellEnd"/>
      <w:r w:rsidRPr="00265401">
        <w:rPr>
          <w:rFonts w:ascii="Times New Roman" w:hAnsi="Times New Roman" w:cs="Times New Roman"/>
          <w:sz w:val="28"/>
          <w:szCs w:val="28"/>
        </w:rPr>
        <w:t xml:space="preserve">-частном партнерстве в Российской Федерации и внесении изменений в отдельные законодательные акты Российской Федерации» (далее – закон о ГЧП) [6] и федерального закона от 21.07.2005 № 115-ФЗ «О концессионных соглашениях» (далее – закон о концессионных соглашениях) [7]. Основным критериям ГЧП, приведенным в вышеуказанном определении, соответствует также и концессионная форма реализации инфраструктурных проектов, однако с юридической точки зрения соглашения о ГЧП и концессионные соглашения являются самостоятельными правовыми институтами, рассмотрение, заключение и реализация которых регулируются отдельными законами, но обычно концессионные соглашения рассматриваются как одна из организационно-правовых форм ГЧП. 11 Независимо от организационно-правовой формы ГЧП должно удовлетворять следующим обязательным критериям: долгосрочный характер партнерства (более 3 лет); распределение рисков и ответственности между партнерами за счет привлечения частного партнера не только к созданию объекта, но и к его последующей эксплуатации и/или техническому обслуживанию; полное или частичное финансирование создания объекта общественной инфраструктуры частным партнером [10]. В среднем по статистике концессионные соглашения в России заключаются на срок 13,1 года, соглашения о ГЧП, МЧП не могут быть заключены на срок менее 3 лет [13]. Долгосрочный характер проектов ГЧП следует из необходимости возврата вложенных частных инвестиций и комплексности таких проектов. В связи с долгосрочным характером партнерства и необходимостью формализации всех существенных условий на инвестиционном и эксплуатационном этапах сложность договорных отношений для проектов ГЧП выше, чем для государственного заказа или иных видов правоотношений государства и бизнеса. Это приводит к более высокой стоимости подготовительных, </w:t>
      </w:r>
      <w:proofErr w:type="spellStart"/>
      <w:r w:rsidRPr="00265401">
        <w:rPr>
          <w:rFonts w:ascii="Times New Roman" w:hAnsi="Times New Roman" w:cs="Times New Roman"/>
          <w:sz w:val="28"/>
          <w:szCs w:val="28"/>
        </w:rPr>
        <w:t>предпроектных</w:t>
      </w:r>
      <w:proofErr w:type="spellEnd"/>
      <w:r w:rsidRPr="00265401">
        <w:rPr>
          <w:rFonts w:ascii="Times New Roman" w:hAnsi="Times New Roman" w:cs="Times New Roman"/>
          <w:sz w:val="28"/>
          <w:szCs w:val="28"/>
        </w:rPr>
        <w:t xml:space="preserve"> работ по проектам ГЧП и занимает значительно больше времени на этапе согласования между публичным и частным партнером. Риски в инфраструктурных проектах – это вероятные изменения показателей проекта, влияющие на доходы и расходы сторон по проекту. Основным отличием ГЧП от государственного заказа является обязательное финансирование создания объекта частным партнером/концессионером, при этом публичный партнер/</w:t>
      </w:r>
      <w:proofErr w:type="spellStart"/>
      <w:r w:rsidRPr="00265401">
        <w:rPr>
          <w:rFonts w:ascii="Times New Roman" w:hAnsi="Times New Roman" w:cs="Times New Roman"/>
          <w:sz w:val="28"/>
          <w:szCs w:val="28"/>
        </w:rPr>
        <w:t>концедент</w:t>
      </w:r>
      <w:proofErr w:type="spellEnd"/>
      <w:r w:rsidRPr="00265401">
        <w:rPr>
          <w:rFonts w:ascii="Times New Roman" w:hAnsi="Times New Roman" w:cs="Times New Roman"/>
          <w:sz w:val="28"/>
          <w:szCs w:val="28"/>
        </w:rPr>
        <w:t xml:space="preserve"> вправе компенсировать часть затрат, понесенных на создание объекта соглашения, а также осуществлять полное или частичное финансирование затрат, связанных с эксплуатацией и/или техническим обслуживанием объекта соглашения. Исходя из рассмотренных обязательных признаков </w:t>
      </w:r>
      <w:proofErr w:type="spellStart"/>
      <w:r w:rsidRPr="00265401">
        <w:rPr>
          <w:rFonts w:ascii="Times New Roman" w:hAnsi="Times New Roman" w:cs="Times New Roman"/>
          <w:sz w:val="28"/>
          <w:szCs w:val="28"/>
        </w:rPr>
        <w:t>государственночастного</w:t>
      </w:r>
      <w:proofErr w:type="spellEnd"/>
      <w:r w:rsidRPr="00265401">
        <w:rPr>
          <w:rFonts w:ascii="Times New Roman" w:hAnsi="Times New Roman" w:cs="Times New Roman"/>
          <w:sz w:val="28"/>
          <w:szCs w:val="28"/>
        </w:rPr>
        <w:t xml:space="preserve"> партнерства можно выделить следующие основные преимущества применения механизмов ГЧП для публичного сектора и инвестора, которые представлены в таблице 1. </w:t>
      </w:r>
    </w:p>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Таблица 1 –Преимущества ГЧП для публичного сектора </w:t>
      </w:r>
    </w:p>
    <w:p w:rsidR="00265401" w:rsidRDefault="00265401" w:rsidP="00602BC6">
      <w:pPr>
        <w:spacing w:line="360" w:lineRule="auto"/>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4785"/>
        <w:gridCol w:w="4786"/>
      </w:tblGrid>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Преимущества проектов государственно-частного партнерства</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Преимущества ГЧП для инвестора</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привлечь частного инвестора к финансированию создания объекта позволяет реализовывать инфраструктурные проекты даже в условиях отсутствия бюджетных средств, по сути, «в рассрочку» без увеличения долговой нагрузки</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переложить часть рисков выручки на публичного партнера (применение: минимальной гарантии доходности, платы за доступность и других механизмов гарантии возвратности)</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объединения в рамках одного проекта различных этапов (проектирование, строительство и эксплуатация) позволяет повысить качество создаваемого объекта и снизить риски завышения стоимости строительства и эксплуатации</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инвестировать в долгосрочный проект с фиксированной доходностью под гарантии или обязательства государства</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приобретать не объект, а услугу с выплатами, привязанными к объему и качеству ее оказания, что также способствует развитию конкуренции на рынке социально значимых услуг</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увеличивать свою выручку по проекту за счет оказания дополнительных платных услуг и/или применения различных решений, снижающих затраты</w:t>
            </w:r>
          </w:p>
        </w:tc>
      </w:tr>
    </w:tbl>
    <w:p w:rsidR="00265401" w:rsidRDefault="00265401" w:rsidP="00602BC6">
      <w:pPr>
        <w:spacing w:line="360" w:lineRule="auto"/>
        <w:jc w:val="both"/>
        <w:rPr>
          <w:rFonts w:ascii="Times New Roman" w:hAnsi="Times New Roman" w:cs="Times New Roman"/>
          <w:sz w:val="28"/>
          <w:szCs w:val="28"/>
        </w:rPr>
      </w:pP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Реализовать инфраструктурный проект в Российской Федерации можно различными способами на разных уровнях, с различными правами и обязанностями субъектов, разной продолжительностью и рисками государственно-частного партнерства. В связи с этим рекомендуется использовать следующую классификацию форм реализации инфраструктурных проектов с государственным или муниципальным участием, которая представлена в таблице 2, и которая включает в себя концессионное соглашение, соглашение о государственно-частном партнерстве, </w:t>
      </w:r>
      <w:proofErr w:type="spellStart"/>
      <w:r w:rsidRPr="00265401">
        <w:rPr>
          <w:rFonts w:ascii="Times New Roman" w:hAnsi="Times New Roman" w:cs="Times New Roman"/>
          <w:sz w:val="28"/>
          <w:szCs w:val="28"/>
        </w:rPr>
        <w:t>муниципально</w:t>
      </w:r>
      <w:proofErr w:type="spellEnd"/>
      <w:r w:rsidRPr="00265401">
        <w:rPr>
          <w:rFonts w:ascii="Times New Roman" w:hAnsi="Times New Roman" w:cs="Times New Roman"/>
          <w:sz w:val="28"/>
          <w:szCs w:val="28"/>
        </w:rPr>
        <w:t>-частном партнерстве, контракт жизненного цикла, договор аренды государственного имущества с инвестиционными обязательствами и долгосрочный договор на поставку товаров, работ, услуг с инвестиционными обязательствами исполнителя. Каждая из приведенных форм имеет правовое регулирование в виде федеральных и/или региональны</w:t>
      </w:r>
      <w:r>
        <w:rPr>
          <w:rFonts w:ascii="Times New Roman" w:hAnsi="Times New Roman" w:cs="Times New Roman"/>
          <w:sz w:val="28"/>
          <w:szCs w:val="28"/>
        </w:rPr>
        <w:t xml:space="preserve">х нормативно-правовых актов.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Таблица 2 – Формы государственно-частного партнерства </w:t>
      </w:r>
    </w:p>
    <w:p w:rsidR="00265401" w:rsidRDefault="00265401" w:rsidP="00602BC6">
      <w:pPr>
        <w:spacing w:line="360" w:lineRule="auto"/>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4785"/>
        <w:gridCol w:w="4786"/>
      </w:tblGrid>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Организационно-правовые формы</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Правовое регулирование</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Формы государственно-частного партнерства (согласно нормативному определению)</w:t>
            </w:r>
          </w:p>
        </w:tc>
        <w:tc>
          <w:tcPr>
            <w:tcW w:w="4786" w:type="dxa"/>
          </w:tcPr>
          <w:p w:rsidR="00265401" w:rsidRDefault="00265401" w:rsidP="00602BC6">
            <w:pPr>
              <w:spacing w:line="360" w:lineRule="auto"/>
              <w:jc w:val="both"/>
              <w:rPr>
                <w:rFonts w:ascii="Times New Roman" w:hAnsi="Times New Roman" w:cs="Times New Roman"/>
                <w:sz w:val="28"/>
                <w:szCs w:val="28"/>
              </w:rPr>
            </w:pP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Концессионное соглашение </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Федеральный закон № 115-ФЗ «О концессионных соглашениях»</w:t>
            </w:r>
          </w:p>
        </w:tc>
      </w:tr>
      <w:tr w:rsidR="00265401" w:rsidTr="00265401">
        <w:tc>
          <w:tcPr>
            <w:tcW w:w="4785"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Соглашение о государственно</w:t>
            </w:r>
            <w:r>
              <w:rPr>
                <w:rFonts w:ascii="Times New Roman" w:hAnsi="Times New Roman" w:cs="Times New Roman"/>
                <w:sz w:val="28"/>
                <w:szCs w:val="28"/>
              </w:rPr>
              <w:t>-</w:t>
            </w:r>
            <w:r w:rsidRPr="00265401">
              <w:rPr>
                <w:rFonts w:ascii="Times New Roman" w:hAnsi="Times New Roman" w:cs="Times New Roman"/>
                <w:sz w:val="28"/>
                <w:szCs w:val="28"/>
              </w:rPr>
              <w:t xml:space="preserve">частном партнерстве, </w:t>
            </w:r>
            <w:proofErr w:type="spellStart"/>
            <w:r w:rsidRPr="00265401">
              <w:rPr>
                <w:rFonts w:ascii="Times New Roman" w:hAnsi="Times New Roman" w:cs="Times New Roman"/>
                <w:sz w:val="28"/>
                <w:szCs w:val="28"/>
              </w:rPr>
              <w:t>муниципально</w:t>
            </w:r>
            <w:proofErr w:type="spellEnd"/>
            <w:r w:rsidRPr="00265401">
              <w:rPr>
                <w:rFonts w:ascii="Times New Roman" w:hAnsi="Times New Roman" w:cs="Times New Roman"/>
                <w:sz w:val="28"/>
                <w:szCs w:val="28"/>
              </w:rPr>
              <w:t xml:space="preserve">-частном партнерстве </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Федеральный закон № 224-ФЗ «О государственно-частном партнерстве, </w:t>
            </w:r>
            <w:proofErr w:type="spellStart"/>
            <w:r w:rsidRPr="00265401">
              <w:rPr>
                <w:rFonts w:ascii="Times New Roman" w:hAnsi="Times New Roman" w:cs="Times New Roman"/>
                <w:sz w:val="28"/>
                <w:szCs w:val="28"/>
              </w:rPr>
              <w:t>муниципально</w:t>
            </w:r>
            <w:proofErr w:type="spellEnd"/>
            <w:r w:rsidRPr="00265401">
              <w:rPr>
                <w:rFonts w:ascii="Times New Roman" w:hAnsi="Times New Roman" w:cs="Times New Roman"/>
                <w:sz w:val="28"/>
                <w:szCs w:val="28"/>
              </w:rPr>
              <w:t>-частном партнерстве» (до 01.01.2016 в рамках регионального законодательства)</w:t>
            </w:r>
          </w:p>
        </w:tc>
      </w:tr>
      <w:tr w:rsidR="00272FD9" w:rsidTr="00265401">
        <w:tc>
          <w:tcPr>
            <w:tcW w:w="4785" w:type="dxa"/>
          </w:tcPr>
          <w:p w:rsidR="00272FD9" w:rsidRP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Иные договорные формы привлечения внебюджетных средств в развитие общественной инфраструктуры</w:t>
            </w:r>
          </w:p>
        </w:tc>
        <w:tc>
          <w:tcPr>
            <w:tcW w:w="4786" w:type="dxa"/>
          </w:tcPr>
          <w:p w:rsidR="00272FD9" w:rsidRPr="00265401" w:rsidRDefault="00272FD9" w:rsidP="00602BC6">
            <w:pPr>
              <w:spacing w:line="360" w:lineRule="auto"/>
              <w:jc w:val="both"/>
              <w:rPr>
                <w:rFonts w:ascii="Times New Roman" w:hAnsi="Times New Roman" w:cs="Times New Roman"/>
                <w:sz w:val="28"/>
                <w:szCs w:val="28"/>
              </w:rPr>
            </w:pP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Контракт жизненного цикла </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Федеральный закон № 44-ФЗ «О контрактной системе в сфере закупок товаров, работ, услуг»</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Договор аренды государственного имущества с инвестиционными обязательствами арендатора </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Гражданский кодекс РФ, федеральный закон №135-ФЗ «О защите конкуренции», региональные правовые акты </w:t>
            </w:r>
          </w:p>
        </w:tc>
      </w:tr>
      <w:tr w:rsidR="00265401" w:rsidTr="00265401">
        <w:tc>
          <w:tcPr>
            <w:tcW w:w="4785"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Долгосрочный договор на поставку товаров, работ, услуг с инвестиционными обязательствами исполнителя</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Федеральный закон № 223-ФЗ «О закупках товаров, работ, услуг отдельными видами юридических лиц» и положения о закупках соответствующих юридических лиц</w:t>
            </w:r>
          </w:p>
        </w:tc>
      </w:tr>
    </w:tbl>
    <w:p w:rsidR="00272FD9"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Таким образом можно заключить, что с учетом многообразия форм государственно-частного партнерства, встречающихся в отечественной практике, возможно построение различных проектов ГЧП в зависимости от выбранных характеристик проекта. </w:t>
      </w:r>
    </w:p>
    <w:p w:rsidR="008E39A8"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1.3 Возможности и перспективы развития государственно-частного партнерства в России Рассматривать ГЧП вне контекста развития российской экономики и текущих макроэкономических тенденций было бы неправильно. Большинство концессионеров, а с 2016 года и частных партнеров, находится между рынком капитала и политикой отраслевых органов власти: с одной стороны, ожидая комфортных условий для финансирования, а с другой – регуляторной политики, которая позволит сотрудничать с государством на понятных условиях. И этот процесс происходит на фоне общего снижения государственных вложений в инфраструктуру не менее чем на 10% [13] и 14 сокращения доступа к инвестициям за счет введения санкций в отношении ведущих российских финансовых институтов. В связи с этим ГЧП становится одним из инструментов, который позволяет найти баланс интересов частного и публичного партнеров для осуществления инвестиций в общественную инфраструктуру за счет внутренних резервов и обеспечивает пусть и небольшой, но рост российской экономики в текущих условиях. На сегодняшний день необходимо найти точки роста российского рынка проектов ГЧП, которые позволят после стабилизации экономики обеспечить существенное увеличение числа проектов, повышение интереса к российской инфраструктуре зарубежных инвесторов и инфраструктурных компаний, что позволит с течением времени обеспечить следующие благоприятные последствия: - рост производительности труда на созданных объектах инфраструктуры; - развитие конкуренции на инфраструктурном рынке; - расширение доступа к трудовым ресурсам – создание новых рабочих мест; - рост инвестиций к национальному и региональному ВВП; - поступательное развитие территорий и повышение уровня жизни населения за счет высокого качества оказываемых услуг на создаваемых объектах инфраструктуры. Существует четыре ключевых направления развития сферы ГЧП, в рамках которых можно выделить точки роста, акцент на которые позволит достичь необходимых результатов по завершению фундамента российского рынка проектов ГЧП в перспективе 2016 и 2017 годов: - системное планирование развития инфраструктуры и стимулирование рынка для применения механизмов ГЧП; - повышение качества и эффективности реализации проектов ГЧП; - обеспечение доступности финансирования для реализации проектов ГЧП; 15 - развитие законодательства в сфере ГЧП и правоприменительной практики реализации проектов ГЧП [11]. В рамках данных направлений предлагается выделить 5 ключевых точек роста. Первое – это расширение инструментов финансирования проектов ГЧП за счет специализированных проектных облигаций негосударственных пенсионных фондов и встраивание в процесс финансирования проектов ГЧП страховых компаний. Этот инструмент активно используется в международной практике – 44% всех инфраструктурных проектов в Европе и Северной Америке финансируется за счет средств пенсионных фондов и страховых компаний. В России за счет пенсионных денег финансируется не более двух десятков проектов, а средства страховых компаний в проектах ГЧП сегодня не участвуют. Обеспечить развитие сферы ГЧП позволит выстраивание регуляторной политики Банка России, направленной на расширение возможных инструментов финансирования проектов ГЧП, перспективный среднесрочной эффект от которой – зарождение нового класса инфраструктурных инвесторов. Вторая точка роста – расширение гарантий инвесторов в проектах ГЧП в том числе по исполнению обязательств публично-правовых образований. Для инвесторов в инфраструктурных проектах одним из основных препятствий для осуществления инвестиций являются недостаточные гарантии возврата вложенных средств. Об этом свидетельствуют данные опроса, согласно которому 68% компаний частного сектора готовы инвестировать в развитие инфраструктуры, но при этом рассчитывают на необходимое содействие органов власти в обеспечение минимального уровня доходности. С другой стороны, совокупный уровень государственного долга субъектов РФ превышает 2 трлн руб., что негативно сказывается их инвестиционной привлекательности. Одно из возможных решений – создание специализированного фонда страхования бюджетных обязательств на базе одного из существующих институтов развития, что в перспективе позволит 16 обеспечить стабильность региональных и местных бюджетов для участия в проектах ГЧП. Третья точка – разработка специальных механизмов субсидирования субъектов РФ и муниципальных образований для реализации проектов ГЧП. В России расходование средств бюджета на строительство объектов инфраструктуры традиционно осуществляется в рамках целевых программ или адресных инвестиционных программ. Таким же образом работает механизм </w:t>
      </w:r>
      <w:proofErr w:type="spellStart"/>
      <w:r w:rsidRPr="00265401">
        <w:rPr>
          <w:rFonts w:ascii="Times New Roman" w:hAnsi="Times New Roman" w:cs="Times New Roman"/>
          <w:sz w:val="28"/>
          <w:szCs w:val="28"/>
        </w:rPr>
        <w:t>софинансирования</w:t>
      </w:r>
      <w:proofErr w:type="spellEnd"/>
      <w:r w:rsidRPr="00265401">
        <w:rPr>
          <w:rFonts w:ascii="Times New Roman" w:hAnsi="Times New Roman" w:cs="Times New Roman"/>
          <w:sz w:val="28"/>
          <w:szCs w:val="28"/>
        </w:rPr>
        <w:t xml:space="preserve"> обязательств региональных и местных бюджетов из бюджета Российской Федерации – за счет федеральных средств стимулируются региональные бюджетные стройки, а не долгосрочные проекты ГЧП с привлечением частных инвестиций. При этом, согласно опросу, 42% респондентов считают, что региональные инфраструктурные проекты должны получать средства из федерального бюджета. Если в ближайшей перспективе будут разработаны порядок и правила субсидирования региональных проектов ГЧП из средств федерального бюджета, это позволит не только запустить ряд отложенных проектов, но и переориентировать планируемые инфраструктурные проекты на рельсы ГЧП. Тем более что прецедент в российской практике уже есть – решение о субсидировании региональных проектов ГЧП за счет средств, собранных с грузовых автомобилей массой свыше 12 тонн. Четвертая точка роста – это разработка отраслевых рекомендаций по запуску и управлению проектами ГЧП и формирование полноценной базы знаний по реализации проектов ГЧП Утверждение, что наступают времена, когда количество проектов должно перерасти в качество, наиболее справедливо для текущего периода времени. Если анализировать портал для размещения официальной информации о проведении торгов, то можно констатировать, что в среднем каждую неделю в России объявляется до 20 новых концессионных конкурсов и появляются 3-4 предложения частных компаний о заключении концессионных соглашений в порядке частной инициативы. То есть можно констатировать, что по крайней мере концессионные проекты в муниципальных 17 образованиях поставлены на поток. С вступлением в силу федерального закона о ГЧП такого взрывного роста соглашений о ГЧП или МЧП не произойдет в силу регуляторных ограничений и необходимости проводить оценку эффективности проектов, но тем не менее задача формирования единой базы знаний в сфере ГЧП и подготовки отраслевых методических рекомендаций с заложенным алгоритмом реализации проекта публичным партнером, остается достаточно актуальной. И пятая точка – совершенствование федерального закона о ГЧП и подзаконных актов на основе правоприменительной практики. Вопрос о том, кто же будет первым рискнувшим реализовать проект на основе нового федерального закона о ГЧП, на текущий день остается открытым. Крупные игроки инфраструктурного рынка высказывают опасения, что в ближайшее время закон останется невостребованным инструментом для привлечения частных инвестиций в инфраструктурные проекты, и основным механизмов для этих целей останется концессия. С другой стороны, регулятор готовит уже второй минимальный пакет поправок к федеральному закону о ГЧП – расширение перечня объектов, в отношении которых могут быть заключены соглашения о ГЧП, в том числе на объекты производственной инфраструктуры и арендное жилье. Устойчивый спрос на новую форму реализации проектов ГЧП есть и у регионов – в момент рассмотрения проекта закона одним из основных аргументов было то, что 142 проекта ГЧП регионального уровня не могут быть реализованы без специального регулирования в законодательстве. Таким образом, 2016 год – это, возможно, лучшее время для того, чтобы выработать единую позицию рынка по совершенствованию норм федерального закона о ГЧП для реализации соответствующих проектов на основе конкретных региональных примеров, которые будут инициированы в течение года. Акценты на точках роста рынка проектов ГЧП предполагают, что увеличивается не только общее количество соглашений, но и их качество – «коммерчески закрытые» проекты не должны закрываться в прямом смысле этого слова. Ряд экспертов предполагает, что волна дефолтов концессионеров 18 может существенно подорвать доверие к рынку проектов ГЧП в ближайшей перспективе и это может свести на нет основные действия по развитию законодательной базы, формированию </w:t>
      </w:r>
      <w:proofErr w:type="spellStart"/>
      <w:r w:rsidRPr="00265401">
        <w:rPr>
          <w:rFonts w:ascii="Times New Roman" w:hAnsi="Times New Roman" w:cs="Times New Roman"/>
          <w:sz w:val="28"/>
          <w:szCs w:val="28"/>
        </w:rPr>
        <w:t>инвестиционно</w:t>
      </w:r>
      <w:proofErr w:type="spellEnd"/>
      <w:r w:rsidRPr="00265401">
        <w:rPr>
          <w:rFonts w:ascii="Times New Roman" w:hAnsi="Times New Roman" w:cs="Times New Roman"/>
          <w:sz w:val="28"/>
          <w:szCs w:val="28"/>
        </w:rPr>
        <w:t xml:space="preserve"> привлекательных условий для реализации проектов ГЧП, подготовке квалифицированных кадров.</w:t>
      </w: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 ___________________</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222"/>
      </w:tblGrid>
      <w:tr w:rsidR="00B942D2"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2</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Особенности реализации  государственно-частного партнерства в России и за рубежом;</w:t>
            </w:r>
          </w:p>
        </w:tc>
      </w:tr>
      <w:tr w:rsidR="00B942D2"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2.1</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Анализ реализации проектов государственно-частного партнерства в России</w:t>
            </w:r>
          </w:p>
        </w:tc>
      </w:tr>
      <w:tr w:rsidR="00B942D2"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2.2</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Анализ реализации проектов государственно-частного партнерства за рубежом</w:t>
            </w:r>
          </w:p>
        </w:tc>
      </w:tr>
      <w:tr w:rsidR="00B942D2" w:rsidRPr="00265401"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3</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Заключение</w:t>
            </w:r>
          </w:p>
        </w:tc>
      </w:tr>
    </w:tbl>
    <w:p w:rsidR="00B942D2" w:rsidRDefault="00B942D2" w:rsidP="00602BC6">
      <w:pPr>
        <w:spacing w:line="360" w:lineRule="auto"/>
        <w:ind w:firstLine="708"/>
        <w:jc w:val="both"/>
        <w:rPr>
          <w:rFonts w:ascii="Times New Roman" w:hAnsi="Times New Roman" w:cs="Times New Roman"/>
          <w:sz w:val="28"/>
          <w:szCs w:val="28"/>
        </w:rPr>
      </w:pPr>
    </w:p>
    <w:p w:rsidR="00B942D2" w:rsidRPr="00C76A7B" w:rsidRDefault="00B942D2" w:rsidP="00B942D2">
      <w:pPr>
        <w:shd w:val="clear" w:color="auto" w:fill="FFFFFF"/>
        <w:spacing w:before="360" w:after="360" w:line="240" w:lineRule="auto"/>
        <w:outlineLvl w:val="0"/>
        <w:rPr>
          <w:rFonts w:ascii="Arial" w:eastAsia="Times New Roman" w:hAnsi="Arial" w:cs="Arial"/>
          <w:b/>
          <w:bCs/>
          <w:color w:val="383838"/>
          <w:kern w:val="36"/>
          <w:sz w:val="38"/>
          <w:szCs w:val="38"/>
          <w:lang w:eastAsia="ru-RU"/>
        </w:rPr>
      </w:pPr>
      <w:r w:rsidRPr="00C76A7B">
        <w:rPr>
          <w:rFonts w:ascii="Arial" w:eastAsia="Times New Roman" w:hAnsi="Arial" w:cs="Arial"/>
          <w:b/>
          <w:bCs/>
          <w:color w:val="383838"/>
          <w:kern w:val="36"/>
          <w:sz w:val="38"/>
          <w:szCs w:val="38"/>
          <w:lang w:eastAsia="ru-RU"/>
        </w:rPr>
        <w:t>Сегодня в России реализуется 173 ГЧП-проекта в сфере транспорта</w:t>
      </w:r>
    </w:p>
    <w:p w:rsidR="00B942D2" w:rsidRPr="00C76A7B" w:rsidRDefault="00B942D2" w:rsidP="00B942D2">
      <w:pPr>
        <w:shd w:val="clear" w:color="auto" w:fill="FFFFFF"/>
        <w:spacing w:after="180" w:line="240" w:lineRule="auto"/>
        <w:rPr>
          <w:rFonts w:ascii="Arial" w:eastAsia="Times New Roman" w:hAnsi="Arial" w:cs="Arial"/>
          <w:color w:val="858585"/>
          <w:sz w:val="24"/>
          <w:szCs w:val="24"/>
          <w:lang w:eastAsia="ru-RU"/>
        </w:rPr>
      </w:pPr>
      <w:r w:rsidRPr="00C76A7B">
        <w:rPr>
          <w:rFonts w:ascii="Arial" w:eastAsia="Times New Roman" w:hAnsi="Arial" w:cs="Arial"/>
          <w:color w:val="858585"/>
          <w:sz w:val="24"/>
          <w:szCs w:val="24"/>
          <w:lang w:eastAsia="ru-RU"/>
        </w:rPr>
        <w:t>25 Декабря</w:t>
      </w:r>
    </w:p>
    <w:p w:rsidR="00B942D2" w:rsidRPr="00C76A7B" w:rsidRDefault="00B942D2" w:rsidP="00B942D2">
      <w:pPr>
        <w:shd w:val="clear" w:color="auto" w:fill="FFFFFF"/>
        <w:spacing w:after="0" w:line="240" w:lineRule="auto"/>
        <w:rPr>
          <w:rFonts w:ascii="Arial" w:eastAsia="Times New Roman" w:hAnsi="Arial" w:cs="Arial"/>
          <w:color w:val="363636"/>
          <w:sz w:val="24"/>
          <w:szCs w:val="24"/>
          <w:lang w:eastAsia="ru-RU"/>
        </w:rPr>
      </w:pPr>
      <w:r w:rsidRPr="00C76A7B">
        <w:rPr>
          <w:rFonts w:ascii="Arial" w:eastAsia="Times New Roman" w:hAnsi="Arial" w:cs="Arial"/>
          <w:noProof/>
          <w:color w:val="363636"/>
          <w:sz w:val="24"/>
          <w:szCs w:val="24"/>
          <w:lang w:eastAsia="ru-RU"/>
        </w:rPr>
        <mc:AlternateContent>
          <mc:Choice Requires="wps">
            <w:drawing>
              <wp:inline distT="0" distB="0" distL="0" distR="0" wp14:anchorId="199D4099" wp14:editId="40C3ED32">
                <wp:extent cx="2854325" cy="2003425"/>
                <wp:effectExtent l="0" t="0" r="0" b="0"/>
                <wp:docPr id="1" name="Прямоугольник 1" descr="http://www.spbtrd.ru/upload/resize_cache/iblock/3d5/300_300_1/gchp-sfery.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4325" cy="200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5FC8C648" id="Прямоугольник 1" o:spid="_x0000_s1026" alt="http://www.spbtrd.ru/upload/resize_cache/iblock/3d5/300_300_1/gchp-sfery.PNG" style="width:224.75pt;height:1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" filled="f" stroked="f">
                <o:lock v:ext="edit" aspectratio="t"/>
                <w10:anchorlock/>
              </v:rect>
            </w:pict>
          </mc:Fallback>
        </mc:AlternateContent>
      </w:r>
      <w:r w:rsidRPr="00C76A7B">
        <w:rPr>
          <w:rFonts w:ascii="Arial" w:eastAsia="Times New Roman" w:hAnsi="Arial" w:cs="Arial"/>
          <w:color w:val="363636"/>
          <w:sz w:val="24"/>
          <w:szCs w:val="24"/>
          <w:lang w:eastAsia="ru-RU"/>
        </w:rPr>
        <w:br/>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АНО «Дирекция по развитию транспортной системы Санкт-Петербурга и Ленинградской области» провела очередной мониторинг инвестиционной активности транспортных проектов в субъектах РФ, реализуемых с применением государственно-частного партнерства за второе полугодие 2018 года.</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На конец 2 полугодия 2018 в транспортной сфере РФ на различных стадиях реализации на муниципальном, региональном и федеральном уровнях находится 173 ГЧП проектов (на конец 1 полугодия 2018 – 170 проектов).</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Наиболее распространённой формой реализации ГЧП проектов по-прежнему является концессия: более двух третей проектов реализуются либо планируются к реализации на основе концессионного соглашения (115-ФЗ).</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 xml:space="preserve">Наибольший объем инвестиций в РФ приходится на федеральные ГЧП проекты – свыше полутора триллиона рублей. Основными проектами являются проекты строительства федеральных автомобильных дорог, где </w:t>
      </w:r>
      <w:proofErr w:type="spellStart"/>
      <w:r w:rsidRPr="00C76A7B">
        <w:rPr>
          <w:rFonts w:ascii="Arial" w:eastAsia="Times New Roman" w:hAnsi="Arial" w:cs="Arial"/>
          <w:color w:val="363636"/>
          <w:sz w:val="24"/>
          <w:szCs w:val="24"/>
          <w:lang w:eastAsia="ru-RU"/>
        </w:rPr>
        <w:t>концедентом</w:t>
      </w:r>
      <w:proofErr w:type="spellEnd"/>
      <w:r w:rsidRPr="00C76A7B">
        <w:rPr>
          <w:rFonts w:ascii="Arial" w:eastAsia="Times New Roman" w:hAnsi="Arial" w:cs="Arial"/>
          <w:color w:val="363636"/>
          <w:sz w:val="24"/>
          <w:szCs w:val="24"/>
          <w:lang w:eastAsia="ru-RU"/>
        </w:rPr>
        <w:t xml:space="preserve"> выступает ГК «</w:t>
      </w:r>
      <w:proofErr w:type="spellStart"/>
      <w:r w:rsidRPr="00C76A7B">
        <w:rPr>
          <w:rFonts w:ascii="Arial" w:eastAsia="Times New Roman" w:hAnsi="Arial" w:cs="Arial"/>
          <w:color w:val="363636"/>
          <w:sz w:val="24"/>
          <w:szCs w:val="24"/>
          <w:lang w:eastAsia="ru-RU"/>
        </w:rPr>
        <w:t>Автодор</w:t>
      </w:r>
      <w:proofErr w:type="spellEnd"/>
      <w:r w:rsidRPr="00C76A7B">
        <w:rPr>
          <w:rFonts w:ascii="Arial" w:eastAsia="Times New Roman" w:hAnsi="Arial" w:cs="Arial"/>
          <w:color w:val="363636"/>
          <w:sz w:val="24"/>
          <w:szCs w:val="24"/>
          <w:lang w:eastAsia="ru-RU"/>
        </w:rPr>
        <w:t>» либо Федеральное дорожное агентство.</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Среди субъектов РФ лидером по объему инвестиций в транспортные ГЧП проекты является г. Санкт-Петербург – в совокупности на город приходится 689,7 млрд. руб. Москва (510,2 млрд. руб.) и Московская область (356,0 млрд. руб.).</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Исходя из собранной информации, большая часть ГЧП проектов имеет длительный срок реализации – 66 проектов из 173 имеют срок реализации больше 20 лет, для 56 проектов предполагается реализация в течение 10-20 лет. 27 проектов имеют срок реализации от 5 до 10 лет. 11 проектов имеют срок реализация до 5 лет.</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Наибольшее количество проектов по стоимости имеют объем до 1 млрд. руб. (51 шт.) и более 30 млрд. руб. (39 шт.). Меньше всего проектов с объемом инвестиций от 5 до 10 млрд. руб. (21 шт.).</w:t>
      </w:r>
    </w:p>
    <w:p w:rsidR="00B942D2" w:rsidRPr="00C76A7B" w:rsidRDefault="00B942D2" w:rsidP="00B942D2">
      <w:pPr>
        <w:shd w:val="clear" w:color="auto" w:fill="FFFFFF"/>
        <w:spacing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 xml:space="preserve">Среди проектов до 1 млрд. руб. – большинство связаны со строительством платных парковок, установки систем фото- </w:t>
      </w:r>
      <w:proofErr w:type="spellStart"/>
      <w:r w:rsidRPr="00C76A7B">
        <w:rPr>
          <w:rFonts w:ascii="Arial" w:eastAsia="Times New Roman" w:hAnsi="Arial" w:cs="Arial"/>
          <w:color w:val="363636"/>
          <w:sz w:val="24"/>
          <w:szCs w:val="24"/>
          <w:lang w:eastAsia="ru-RU"/>
        </w:rPr>
        <w:t>видеофиксации</w:t>
      </w:r>
      <w:proofErr w:type="spellEnd"/>
      <w:r w:rsidRPr="00C76A7B">
        <w:rPr>
          <w:rFonts w:ascii="Arial" w:eastAsia="Times New Roman" w:hAnsi="Arial" w:cs="Arial"/>
          <w:color w:val="363636"/>
          <w:sz w:val="24"/>
          <w:szCs w:val="24"/>
          <w:lang w:eastAsia="ru-RU"/>
        </w:rPr>
        <w:t xml:space="preserve"> нарушений ПДД, весогабаритного контроля, строительства участков дорог и путепроводов.</w:t>
      </w:r>
    </w:p>
    <w:p w:rsidR="00B942D2" w:rsidRDefault="00B942D2" w:rsidP="00B942D2">
      <w:pPr>
        <w:pStyle w:val="1"/>
        <w:spacing w:before="450" w:beforeAutospacing="0" w:after="450" w:afterAutospacing="0"/>
        <w:ind w:left="450" w:right="450"/>
        <w:rPr>
          <w:rFonts w:ascii="Tahoma" w:hAnsi="Tahoma" w:cs="Tahoma"/>
          <w:color w:val="474747"/>
          <w:sz w:val="27"/>
          <w:szCs w:val="27"/>
        </w:rPr>
      </w:pPr>
      <w:r>
        <w:rPr>
          <w:rFonts w:ascii="Tahoma" w:hAnsi="Tahoma" w:cs="Tahoma"/>
          <w:color w:val="474747"/>
          <w:sz w:val="27"/>
          <w:szCs w:val="27"/>
        </w:rPr>
        <w:t>Глава 8 ГЧП в сфере транспорта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Крупнейшей сферой исторически сложившегося взаимодействия государства и частного капитала в области производства общественных услуг, объединения ресурсов и разделения рисков являются в современном мире транспортные проекты: водные каналы, мосты и туннели, стратегические железные и автомобильные дороги, морские порты и аэропорты, логистические комплексы транспортных узлов, трубопроводный, городской общественный и коммунальный транспорт.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Для Российской Федерации решение транспортной проблемы было и остается приоритетной задачей, при этом государственно-частное партнерство рассматривается как реальный эффективный механизм достижения целей, поставленных в программных документах. Распоряжением Правительства РФ от 22 ноября 2008 г. № 1734-р [89] утверждена Транспортная стратегия Российской Федерации на период до 2030 года. Направления развития транспортной системы базируются в Стратегии на идеях проекта Концепции долгосрочного социально-экономического развития Российской Федерации на период до 2020 года и на широком спектре документов, определяющих перспективы общественного и экономического развития России, ее регионов и отраслевых комплексов, транспортной системы и отдельных видов транспорта, международной транспортной интеграции. В числе этих документов – стратегии регионального и отраслевого развития, законодательные и иные нормативные правовые акты, включая бюджетные послания Президента РФ Федеральному Собранию РФ, федеральные законы о федеральном бюджете и бюджетах государственных внебюджетных фондов, соответствующее региональное законодательство, нормативные правовые акты в области обороны и национальной безопасности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Транспортная отрасль в России должна системно обеспечить все сферы жизнедеятельности отечественной экономики, выйти на конкурентные позиции по основным экономическим показателям (производительность, фондоотдача, рентабельность, энергоемкость), по уровню совокупных издержек общества, зависящих от транспорта, удельных транспортных издержек в стоимости продукции и услуг, безопасности, </w:t>
      </w:r>
      <w:proofErr w:type="spellStart"/>
      <w:r>
        <w:rPr>
          <w:rFonts w:ascii="Tahoma" w:hAnsi="Tahoma" w:cs="Tahoma"/>
          <w:color w:val="424242"/>
          <w:sz w:val="21"/>
          <w:szCs w:val="21"/>
        </w:rPr>
        <w:t>экологичности</w:t>
      </w:r>
      <w:proofErr w:type="spellEnd"/>
      <w:r>
        <w:rPr>
          <w:rFonts w:ascii="Tahoma" w:hAnsi="Tahoma" w:cs="Tahoma"/>
          <w:color w:val="424242"/>
          <w:sz w:val="21"/>
          <w:szCs w:val="21"/>
        </w:rPr>
        <w:t xml:space="preserve"> и качества транспортных услуг. Внедрение транспортной системы страны в стратегические программы смежных отраслей и регионов России позволит, в свою очередь, обеспечить развитие субъектов РФ, отраслей и межотраслевых комплексов.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настоящее время доля внебюджетных инвестиций в финансировании транспортного комплекса составляет около 40%. Остальные 60% обеспечиваются за счет бюджетных средств. Исходя из задач Транспортной стратегии в перспективе это соотношение должно измениться в сторону увеличения доли внебюджетных источников. Прогнозируемый объем капитальных вложений в Стратегию (по инерционному варианту) составляет около 136 трлн руб. (2010–2030 гг.), в том числе более 18 трлн руб. за период 2010–2015 гг. Причем около 28% из них – средства федерального бюджета, примерно 15% – бюджеты субъектов РФ и основная часть – 57% – внебюджетные средства.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качестве одного из социально-экономических итогов реализации Стратегии постулируется «развитие конкурентной среды, государственно-частного партнерства, целенаправленное формирование условий для инвестирования», которые «обеспечат интенсивный рост инвестиционной привлекательности отрасли».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8.1. Автомобильные дороги и инженерные сооружения транспортной инфраструктуры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Мировой опыт строительства автомагистралей и связанной с ними инфраструктуры на принципах ГЧП чрезвычайно обширен. «Старая» Европа и Северная Америка, Австралия, государства Центральной и Восточной Европы с переходной экономикой, развивающиеся страны Азии, Центральной и Южной Америки, Африки накопили богатый опыт реализации проектов в этой сфере, что подтверждает адаптивность механизма ГЧП к различным системам государственного устройства при решении властью долгосрочных социально-экономических задач.</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Российской Федерации на автомобильный транспорт приходится 47,4% объема коммерческих перевозок грузов и 57,8% пассажирских перевозок транспортом общего пользования. Анализ международного опыта использования механизма ГЧП позволяет с оптимизмом говорить о перспективах реализации инвестиционных проектов по созданию автодорожной инфраструктуры в нашей стране. В первую очередь это относится к системе платных автомагистралей.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целях реализации проектов по созданию платных автомобильных дорог и формирования инвестиционной привлекательности дорожного хозяйства в Минтрансе создана Рабочая группа по развитию платных автодорог и других объектов инфраструктуры; в подпрограмму «Автомобильные дороги» ФЦП «Модернизация транспортной системы России (2002– 2010 годы)» включен дополнительный раздел «Государственно-частное партнерство при строительстве автомобильных дорог и объектов дорожной инфраструктуры». В нем перечислены первоочередные объекты, на которых до 2013 г. должен быть введен платный проезд. Помимо российских компаний планируется на конкурсной основе привлекать к подготовке и реализации проектов платных дорог международные инжиниринговые и финансовые компании, имеющие соответствующий опыт и высокую репутацию.</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настоящее время Минтранс совместно с Минэкономразвития, а также ведущими мировыми консалтинговыми компаниями разрабатывает комплексную концепцию организационно-правовой и финансовой модели управления на платных автомобильных дорогах. Рассмотрим состояние и ближайшие перспективы реализации проектов ГЧП в этой сфере.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Первая платная скоростная автомагистраль – «Западный скоростной диаметр» (ЗСД) в Санкт-Петербурге. Строительство ЗСД и его последующая эксплуатация на платной основе являются полигоном для применения механизмов государственно-частного партнерства в развитии транспортной инфраструктуры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соответствии с распоряжением Правительства РФ от 31 октября 2006 г. № 1494-р [90] реализация проекта строительства ЗСД осуществляется на основе концессионного соглашения, права и обязанности </w:t>
      </w:r>
      <w:proofErr w:type="spellStart"/>
      <w:r>
        <w:rPr>
          <w:rFonts w:ascii="Tahoma" w:hAnsi="Tahoma" w:cs="Tahoma"/>
          <w:color w:val="424242"/>
          <w:sz w:val="21"/>
          <w:szCs w:val="21"/>
        </w:rPr>
        <w:t>концедента</w:t>
      </w:r>
      <w:proofErr w:type="spellEnd"/>
      <w:r>
        <w:rPr>
          <w:rFonts w:ascii="Tahoma" w:hAnsi="Tahoma" w:cs="Tahoma"/>
          <w:color w:val="424242"/>
          <w:sz w:val="21"/>
          <w:szCs w:val="21"/>
        </w:rPr>
        <w:t xml:space="preserve"> по которому совместно осуществляются Российской Федерацией и городом федерального значения Санкт-Петербургом и которое предполагает строительство ЗСД как объекта государственной собственности.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Проект «Западный скоростной диаметр» в Санкт-Петербурге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Целью создания платной скоростной автомагистрали являются повышение эффективности работы Санкт-Петербургского транспортного узла и подключение его к сети федеральных автомобильных дорог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Проект магистрали предусматривает строительство автодороги протяженностью 48,9 км, 55% из которых составят эстакадные участки. Средняя ширина – 6–8 полос. В составе магистрали предполагается сооружение двух туннелей и постройка 72 инженерных сооружений, включая мосты, путепроводы и транспортные развязки.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Стоимость проекта составляет 212 млрд 700 млн руб., в том числе средства инвесторов – 108 млрд, Инвестиционного фонда – 71,2 млрд, средства бюджета города – 33,5 млрд руб.</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Инвестором выступил консорциум «Западный скоростной диаметр – Невский меридиан», в который вошли французская компания «</w:t>
      </w:r>
      <w:proofErr w:type="spellStart"/>
      <w:r>
        <w:rPr>
          <w:rFonts w:ascii="Tahoma" w:hAnsi="Tahoma" w:cs="Tahoma"/>
          <w:i/>
          <w:iCs/>
          <w:color w:val="424242"/>
          <w:sz w:val="21"/>
          <w:szCs w:val="21"/>
        </w:rPr>
        <w:t>Bouygues</w:t>
      </w:r>
      <w:proofErr w:type="spellEnd"/>
      <w:r>
        <w:rPr>
          <w:rFonts w:ascii="Tahoma" w:hAnsi="Tahoma" w:cs="Tahoma"/>
          <w:i/>
          <w:iCs/>
          <w:color w:val="424242"/>
          <w:sz w:val="21"/>
          <w:szCs w:val="21"/>
        </w:rPr>
        <w:t>», немецкая «</w:t>
      </w:r>
      <w:proofErr w:type="spellStart"/>
      <w:r>
        <w:rPr>
          <w:rFonts w:ascii="Tahoma" w:hAnsi="Tahoma" w:cs="Tahoma"/>
          <w:i/>
          <w:iCs/>
          <w:color w:val="424242"/>
          <w:sz w:val="21"/>
          <w:szCs w:val="21"/>
        </w:rPr>
        <w:t>Hochtief</w:t>
      </w:r>
      <w:proofErr w:type="spellEnd"/>
      <w:r>
        <w:rPr>
          <w:rFonts w:ascii="Tahoma" w:hAnsi="Tahoma" w:cs="Tahoma"/>
          <w:i/>
          <w:iCs/>
          <w:color w:val="424242"/>
          <w:sz w:val="21"/>
          <w:szCs w:val="21"/>
        </w:rPr>
        <w:t>», российские «Базовый элемент» и «Мостотряд-19», а также французская инжиниринговая «</w:t>
      </w:r>
      <w:proofErr w:type="spellStart"/>
      <w:r>
        <w:rPr>
          <w:rFonts w:ascii="Tahoma" w:hAnsi="Tahoma" w:cs="Tahoma"/>
          <w:i/>
          <w:iCs/>
          <w:color w:val="424242"/>
          <w:sz w:val="21"/>
          <w:szCs w:val="21"/>
        </w:rPr>
        <w:t>Egis</w:t>
      </w:r>
      <w:proofErr w:type="spellEnd"/>
      <w:r>
        <w:rPr>
          <w:rFonts w:ascii="Tahoma" w:hAnsi="Tahoma" w:cs="Tahoma"/>
          <w:i/>
          <w:iCs/>
          <w:color w:val="424242"/>
          <w:sz w:val="21"/>
          <w:szCs w:val="21"/>
        </w:rPr>
        <w:t>» и австрийская строительная «</w:t>
      </w:r>
      <w:proofErr w:type="spellStart"/>
      <w:r>
        <w:rPr>
          <w:rFonts w:ascii="Tahoma" w:hAnsi="Tahoma" w:cs="Tahoma"/>
          <w:i/>
          <w:iCs/>
          <w:color w:val="424242"/>
          <w:sz w:val="21"/>
          <w:szCs w:val="21"/>
        </w:rPr>
        <w:t>Strabag</w:t>
      </w:r>
      <w:proofErr w:type="spellEnd"/>
      <w:r>
        <w:rPr>
          <w:rFonts w:ascii="Tahoma" w:hAnsi="Tahoma" w:cs="Tahoma"/>
          <w:i/>
          <w:iCs/>
          <w:color w:val="424242"/>
          <w:sz w:val="21"/>
          <w:szCs w:val="21"/>
        </w:rPr>
        <w:t xml:space="preserve"> AG». Обязанности </w:t>
      </w:r>
      <w:proofErr w:type="spellStart"/>
      <w:r>
        <w:rPr>
          <w:rFonts w:ascii="Tahoma" w:hAnsi="Tahoma" w:cs="Tahoma"/>
          <w:i/>
          <w:iCs/>
          <w:color w:val="424242"/>
          <w:sz w:val="21"/>
          <w:szCs w:val="21"/>
        </w:rPr>
        <w:t>концедента</w:t>
      </w:r>
      <w:proofErr w:type="spellEnd"/>
      <w:r>
        <w:rPr>
          <w:rFonts w:ascii="Tahoma" w:hAnsi="Tahoma" w:cs="Tahoma"/>
          <w:i/>
          <w:iCs/>
          <w:color w:val="424242"/>
          <w:sz w:val="21"/>
          <w:szCs w:val="21"/>
        </w:rPr>
        <w:t xml:space="preserve"> при заключении и исполнении концессионного соглашения в отношении автомобильной дороги ЗСД осуществляются совместно Российской Федерацией в лице Федерального дорожного агентства и Санкт-Петербургом.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начале ноября 2006 г. стартовал конкурс по выбору инвестора для строительства магистрали. Документация к открытому конкурсу на право заключения концессионного соглашения в отношении ЗСД утверждена </w:t>
      </w:r>
      <w:proofErr w:type="spellStart"/>
      <w:r>
        <w:rPr>
          <w:rFonts w:ascii="Tahoma" w:hAnsi="Tahoma" w:cs="Tahoma"/>
          <w:color w:val="424242"/>
          <w:sz w:val="21"/>
          <w:szCs w:val="21"/>
        </w:rPr>
        <w:t>Концедентом</w:t>
      </w:r>
      <w:proofErr w:type="spellEnd"/>
      <w:r>
        <w:rPr>
          <w:rFonts w:ascii="Tahoma" w:hAnsi="Tahoma" w:cs="Tahoma"/>
          <w:color w:val="424242"/>
          <w:sz w:val="21"/>
          <w:szCs w:val="21"/>
        </w:rPr>
        <w:t xml:space="preserve"> – Федеральным дорожным агентством и Правительством Санкт-Петербурга [91] . К конкурсу были допущены четыре участника, представлявшие интересы консорциумов российских, австрийской, немецкой, французской, голландской, турецкой, </w:t>
      </w:r>
      <w:proofErr w:type="spellStart"/>
      <w:r>
        <w:rPr>
          <w:rFonts w:ascii="Tahoma" w:hAnsi="Tahoma" w:cs="Tahoma"/>
          <w:color w:val="424242"/>
          <w:sz w:val="21"/>
          <w:szCs w:val="21"/>
        </w:rPr>
        <w:t>южно-африканской</w:t>
      </w:r>
      <w:proofErr w:type="spellEnd"/>
      <w:r>
        <w:rPr>
          <w:rFonts w:ascii="Tahoma" w:hAnsi="Tahoma" w:cs="Tahoma"/>
          <w:color w:val="424242"/>
          <w:sz w:val="21"/>
          <w:szCs w:val="21"/>
        </w:rPr>
        <w:t xml:space="preserve"> и испанской компаний. В связи с тем, что срок подачи заявок неоднократно продлевался, постановление о заключении концессионного соглашения на строительство ЗСД было принято только в июле 2008 г., а уже в конце того же года был открыт первый участок ЗСД протяженностью 5,7 км.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Реализация проекта осуществляется в соответствии с законодательством Российской Федерации и Санкт-Петербурга с использованием существующих юридических схем и механизмов. Вместе с тем привлечение совместного финансирования федерального бюджета и бюджета Санкт-Петербурга повлекло необходимость издания специальных распоряжений Правительством РФ [92] и Правительством Санкт-Петербурга [93] , предусматривающих порядок реализации проекта, утверждения схемы его финансирования с учетом социальной значимости проекта для Северо-Западного региона и России в целом.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Взаимоотношения Российской Федерации и Санкт-Петербурга по поводу совместной реализации проекта создания и эксплуатации ЗСД урегулированы соответствующим Соглашением от 30 ноября 2006 г. [94] . Однако в связи с финансовым кризисом реализация проекта в целом оказалась под угрозой срыва. Концессионный договор не подписан. «Строительство этой дороги у нас планировалось совместно с частными инвесторами, но, к сожалению, в современных условиях они отпали. В связи с этим мы приняли решение, чтобы и коллектив сохранить, и построить дорогу», – заявил Председатель Правительства РФ В.В. Путин. В итоге государство гарантировало финансирование строительства Западного скоростного диаметра (ЗСД) в Санкт-Петербурге на 2009–2010 гг. за счет средств федерального бюджета в размере более 20 млрд руб. В 2009 г. планировалось выделить из федерального бюджета на строительство объекта 6 млрд руб., а в 2010 г. – 14,6 млрд руб. Санкт-Петербург, в свою очередь, в 2009–2010 гг. выделит из своего бюджета еще 6 млрд руб. [95] . Ранее ввод ЗСД планировался на конец 2011 г. В феврале 2009 г. администрация города сообщила, что сроки окончания ЗСД переносятся на 2013–2014 гг. «из-за сложных экономических условий».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Другим крупным и национально значимым проектом в области развития дорожной инфраструктуры, финансирование которого предполагается осуществлять с привлечением внебюджетных средств, является проект создания новой скоростной автомобильной магистрали Москва – Санкт-Петербург (от МКАД до КАД Санкт-Петербурга), интегрированной в международные транспортные коридоры «Север – Юг».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Скоростная автомагистраль Москва – Санкт-Петербург </w:t>
      </w:r>
      <w:r>
        <w:rPr>
          <w:rFonts w:ascii="Tahoma" w:hAnsi="Tahoma" w:cs="Tahoma"/>
          <w:i/>
          <w:iCs/>
          <w:color w:val="424242"/>
          <w:sz w:val="21"/>
          <w:szCs w:val="21"/>
        </w:rPr>
        <w:t>[96]</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Протяженность будущей платной автотрассы от Москвы до Санкт-Петербурга составит около 650 км. Ширина проезжей части дороги – 10 полос на выезде из Москвы, 8 полос – в Ленинградской и Московской областях и 6 полос – на территории Тверской и Новгородской областей. Согласно проекту по дороге до Санкт-Петербурга будет построено 32 развязки, 85 мостов и 167 путепроводов, а в Санкт-Петербурге новая трасса соединится с дорогой на Финляндию. Платная трасса потребует инвестиций в размере приблизительно 200–240 млрд руб. Срок окупаемости – около 17 лет.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Общая длина головного участка автомагистрали «Москва-Санкт-Петербург» составляет 43 км 108 м. Общее число полос движения – 8–10; ширина полосы движения – 3,75 м. На дороге будет установлена Автоматизированная система управления дорожным движением, организованы площадки для отдыха, обеспечена современная связь посредством применения последних достижений информационных технологий (в том числе пункты аварийной связи), служба эвакуации. Средневзвешенный тариф для проезда по трассе по условиям конкурсного предложения выигравшего участника составляет 3,60 руб./км. Строительство начнется в 2010 г. после подтверждения концессионером финансового закрытия проекта. Срок строительства – 36 месяцев.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Общая стоимость проекта составляет около 60 млрд руб., 23 млрд руб. выделяет Правительство РФ, а остальные средства привлекает концессионер.</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27 июля 2009 г. в Министерстве транспорта РФ состоялось подписание концессионного соглашения о финансировании, строительстве и эксплуатации на платной основе скоростной автодороги Москва – Санкт-Петербург на участке 15–58 км. Со стороны </w:t>
      </w:r>
      <w:proofErr w:type="spellStart"/>
      <w:r>
        <w:rPr>
          <w:rFonts w:ascii="Tahoma" w:hAnsi="Tahoma" w:cs="Tahoma"/>
          <w:color w:val="424242"/>
          <w:sz w:val="21"/>
          <w:szCs w:val="21"/>
        </w:rPr>
        <w:t>концедента</w:t>
      </w:r>
      <w:proofErr w:type="spellEnd"/>
      <w:r>
        <w:rPr>
          <w:rFonts w:ascii="Tahoma" w:hAnsi="Tahoma" w:cs="Tahoma"/>
          <w:color w:val="424242"/>
          <w:sz w:val="21"/>
          <w:szCs w:val="21"/>
        </w:rPr>
        <w:t xml:space="preserve"> концессионное соглашение подписал руководитель Федерального дорожного агентства, со стороны концессионера – Генеральный директор французского холдинга «</w:t>
      </w:r>
      <w:proofErr w:type="spellStart"/>
      <w:r>
        <w:rPr>
          <w:rFonts w:ascii="Tahoma" w:hAnsi="Tahoma" w:cs="Tahoma"/>
          <w:color w:val="424242"/>
          <w:sz w:val="21"/>
          <w:szCs w:val="21"/>
        </w:rPr>
        <w:t>Vinci</w:t>
      </w:r>
      <w:proofErr w:type="spellEnd"/>
      <w:r>
        <w:rPr>
          <w:rFonts w:ascii="Tahoma" w:hAnsi="Tahoma" w:cs="Tahoma"/>
          <w:color w:val="424242"/>
          <w:sz w:val="21"/>
          <w:szCs w:val="21"/>
        </w:rPr>
        <w:t>», который является учредителем специально созданного для осуществления проекта ООО «Северо-западная концессионная компания». Эта компания стала в 2008 г. победителем концессионного конкурса, объявленного в соответствии с распоряжением Правительства РФ 24 сентября 2007 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Строительство головного участка магистрали Москва-Санкт-Петербург позволит решить ряд транспортных проблем Москвы и ближайшего Подмосковья, в том числе обеспечить новый скоростной подъезд к аэропорту Шереметьево и городам Химки, Долгопрудному, Зеленограду, разгрузить проходящий по г. Химки участок существующей автодороги М-10 «Россия», который станет дублирующим (альтернативным) маршрутом для бесплатного проезда.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Необходимость решения транспортной проблемы вызвала к жизни ряд других стратегических концессионных автодорожных проектов. Так, в концессионном конкурсе проекта строительства нового выхода на Московскую кольцевую автомобильную дорогу с федеральной автомобильной дороги М-1 «Беларусь» Москва – Минск победило ОАО «Главная дорога». Это консорциум, сформированный управляющей компанией «Лидер», в который вошли «Газпромбанк», «</w:t>
      </w:r>
      <w:proofErr w:type="spellStart"/>
      <w:r>
        <w:rPr>
          <w:rFonts w:ascii="Tahoma" w:hAnsi="Tahoma" w:cs="Tahoma"/>
          <w:color w:val="424242"/>
          <w:sz w:val="21"/>
          <w:szCs w:val="21"/>
        </w:rPr>
        <w:t>Стройгазконсалтинг</w:t>
      </w:r>
      <w:proofErr w:type="spellEnd"/>
      <w:r>
        <w:rPr>
          <w:rFonts w:ascii="Tahoma" w:hAnsi="Tahoma" w:cs="Tahoma"/>
          <w:color w:val="424242"/>
          <w:sz w:val="21"/>
          <w:szCs w:val="21"/>
        </w:rPr>
        <w:t xml:space="preserve">», португальская </w:t>
      </w:r>
      <w:proofErr w:type="spellStart"/>
      <w:r>
        <w:rPr>
          <w:rFonts w:ascii="Tahoma" w:hAnsi="Tahoma" w:cs="Tahoma"/>
          <w:color w:val="424242"/>
          <w:sz w:val="21"/>
          <w:szCs w:val="21"/>
        </w:rPr>
        <w:t>Brisa</w:t>
      </w:r>
      <w:proofErr w:type="spellEnd"/>
      <w:r>
        <w:rPr>
          <w:rFonts w:ascii="Tahoma" w:hAnsi="Tahoma" w:cs="Tahoma"/>
          <w:color w:val="424242"/>
          <w:sz w:val="21"/>
          <w:szCs w:val="21"/>
        </w:rPr>
        <w:t xml:space="preserve">, австрийская </w:t>
      </w:r>
      <w:proofErr w:type="spellStart"/>
      <w:r>
        <w:rPr>
          <w:rFonts w:ascii="Tahoma" w:hAnsi="Tahoma" w:cs="Tahoma"/>
          <w:color w:val="424242"/>
          <w:sz w:val="21"/>
          <w:szCs w:val="21"/>
        </w:rPr>
        <w:t>Alpine</w:t>
      </w:r>
      <w:proofErr w:type="spellEnd"/>
      <w:r>
        <w:rPr>
          <w:rFonts w:ascii="Tahoma" w:hAnsi="Tahoma" w:cs="Tahoma"/>
          <w:color w:val="424242"/>
          <w:sz w:val="21"/>
          <w:szCs w:val="21"/>
        </w:rPr>
        <w:t xml:space="preserve"> и испанская FCC </w:t>
      </w:r>
      <w:proofErr w:type="spellStart"/>
      <w:r>
        <w:rPr>
          <w:rFonts w:ascii="Tahoma" w:hAnsi="Tahoma" w:cs="Tahoma"/>
          <w:color w:val="424242"/>
          <w:sz w:val="21"/>
          <w:szCs w:val="21"/>
        </w:rPr>
        <w:t>Construccion</w:t>
      </w:r>
      <w:proofErr w:type="spellEnd"/>
      <w:r>
        <w:rPr>
          <w:rFonts w:ascii="Tahoma" w:hAnsi="Tahoma" w:cs="Tahoma"/>
          <w:color w:val="424242"/>
          <w:sz w:val="21"/>
          <w:szCs w:val="21"/>
        </w:rPr>
        <w:t>. Реализация данного проекта позволит разгрузить головные участки Минского и Рублево-Успенского шоссе, выведет транзитное движение из г. Одинцово, улучшит экологическую обстановку.</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Ведется разработка проектной документации по крупнейшему инвестиционному проекту «Строительство Центральной кольцевой автомобильной дороги Московской области», которая станет составляющей международных транспортных коридоров.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Проект «Строительство Центральной кольцевой автомобильной дороги Московской области»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Основная цель проекта – разгрузка радиальных выходов из Москвы и уличной сети города от движения большегрузного и транзитного транспорта.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Проектная протяженность дороги – 442 км, удаленность от МКАД – от 25 до 80 км. Трасса пройдет по территориям 52 муниципальных образований Подмосковья [97] . Начало строительства запланировано на 2011 г. Открытие движения по первому участку ЦКАД ожидается в 2012 г. Предполагаемые сроки завершения строительства – 2015 г. Проектная стоимость строительства ЦКАД составляет 469 млрд руб. Подготовка проектно-сметной документации – 8,9 млрд руб., в том числе более 6 млрд руб. предполагается выделить из Инвестиционного фонда. Ожидается, что государство (за счет средств Инвестиционного фонда) профинансирует 60% стоимости строительства, правительство Московской области – 10%, частные инвесторы – 25%. Заказчик проекта – ФГУ «Дороги России».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Ведется подготовка к конкурсу на разработку проектной документации для строительства и эксплуатации на платной основе автомобильной дороги М-4 «Дон» на участках км 21 – км 117 и км 330 – км 464. Реализация данного проекта составит основу скоростного автодорожного маршрута по направлению международного транспортного коридора «Север – Юг» от морских портов на Балтике до Черного моря.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Еще одним новым крупным инфраструктурным проектом, создаваемым с использованием технологий ГЧП, является проект строительства трассы в обход г. Волгограда. На его примере можно проследить последовательность действий инициаторов проекта. Идея возникла еще в 2005 г. Цели проекта: экономическое развитие региона, разгрузка улично-дорожной сети г. Волгограда и улучшение экологической ситуации в городе, увеличение скорости движения транзитных потоков в МТК «Север – Юг» и снижение транспортных издержек. Осуществлять возврат инвестиций предполагалось на основе взимания платы за проезд.</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течение нескольких лет администрация Волгоградской области поднимала вопрос об изыскании финансирования для разработки и реализации данного проекта. Наконец одним из основных партнеров по данному проекту выступил Внешэкономбанк со своим Центром ГЧП. В подготовке контракта и необходимой документации участвует ряд профильных инженерных компаний, юридические консультанты, крупные финансовые институты. На предварительном этапе первичную оценку проекта произвела команда экспертов Всемирного банка, имеются перспективы привлечь к </w:t>
      </w:r>
      <w:proofErr w:type="spellStart"/>
      <w:r>
        <w:rPr>
          <w:rFonts w:ascii="Tahoma" w:hAnsi="Tahoma" w:cs="Tahoma"/>
          <w:color w:val="424242"/>
          <w:sz w:val="21"/>
          <w:szCs w:val="21"/>
        </w:rPr>
        <w:t>софинансированию</w:t>
      </w:r>
      <w:proofErr w:type="spellEnd"/>
      <w:r>
        <w:rPr>
          <w:rFonts w:ascii="Tahoma" w:hAnsi="Tahoma" w:cs="Tahoma"/>
          <w:color w:val="424242"/>
          <w:sz w:val="21"/>
          <w:szCs w:val="21"/>
        </w:rPr>
        <w:t xml:space="preserve"> Европейский банк реконструкции и развития.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2009 г. произведена оценка инвестиционной привлекательности проекта, определены стартовые значения основных критериев инвестиционного конкурса (объем внебюджетных инвестиций; распределение основных рисков; продолжительность платной эксплуатации – срок концессии; порядок установления максимальных тарифов за пользование платной автомобильной дорогой; объем государственных субсидий), а также организационные (управление проектом), финансовые (способы финансирования) и юридические (нормативно-правовые акты) механизмы, позволяющие реализовать проект.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На первой стадии разработки проекта: оценена общая сметная стоимость строительства автодороги – около 54 млрд руб. (доля государства – около 75%, частных инвесторов – 25%); определены эксплуатационные затраты; даны предложения по управлению проектом; определены размеры платы за проезд и доходы проекта; разработан финансовый план и произведена финансово-экономическая и социально-экономическая оценка проекта; определена его бюджетная эффективность; вы </w:t>
      </w:r>
      <w:proofErr w:type="spellStart"/>
      <w:r>
        <w:rPr>
          <w:rFonts w:ascii="Tahoma" w:hAnsi="Tahoma" w:cs="Tahoma"/>
          <w:color w:val="424242"/>
          <w:sz w:val="21"/>
          <w:szCs w:val="21"/>
        </w:rPr>
        <w:t>полнена</w:t>
      </w:r>
      <w:proofErr w:type="spellEnd"/>
      <w:r>
        <w:rPr>
          <w:rFonts w:ascii="Tahoma" w:hAnsi="Tahoma" w:cs="Tahoma"/>
          <w:color w:val="424242"/>
          <w:sz w:val="21"/>
          <w:szCs w:val="21"/>
        </w:rPr>
        <w:t xml:space="preserve"> оценка рисков и предложены мероприятия по их </w:t>
      </w:r>
      <w:proofErr w:type="spellStart"/>
      <w:r>
        <w:rPr>
          <w:rFonts w:ascii="Tahoma" w:hAnsi="Tahoma" w:cs="Tahoma"/>
          <w:color w:val="424242"/>
          <w:sz w:val="21"/>
          <w:szCs w:val="21"/>
        </w:rPr>
        <w:t>огра</w:t>
      </w:r>
      <w:proofErr w:type="spellEnd"/>
      <w:r>
        <w:rPr>
          <w:rFonts w:ascii="Tahoma" w:hAnsi="Tahoma" w:cs="Tahoma"/>
          <w:color w:val="424242"/>
          <w:sz w:val="21"/>
          <w:szCs w:val="21"/>
        </w:rPr>
        <w:t xml:space="preserve"> </w:t>
      </w:r>
      <w:proofErr w:type="spellStart"/>
      <w:r>
        <w:rPr>
          <w:rFonts w:ascii="Tahoma" w:hAnsi="Tahoma" w:cs="Tahoma"/>
          <w:color w:val="424242"/>
          <w:sz w:val="21"/>
          <w:szCs w:val="21"/>
        </w:rPr>
        <w:t>ничению</w:t>
      </w:r>
      <w:proofErr w:type="spellEnd"/>
      <w:r>
        <w:rPr>
          <w:rFonts w:ascii="Tahoma" w:hAnsi="Tahoma" w:cs="Tahoma"/>
          <w:color w:val="424242"/>
          <w:sz w:val="21"/>
          <w:szCs w:val="21"/>
        </w:rPr>
        <w:t>. Доказана возможность бесплатного альтернативного проезда по существующей улично-дорожной сети г. Волгограда.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Реализовывать проект создания платной автомобильной дороги предполагается в форме государственно-частного партнерства на основе схемы ВОТ. Весь процесс реализации по критерию финансирования можно разделить на два этапа: подготовительный (финансируется за счет средств федерального бюджета и бюджета Волгоградской области) и коммерческий (долевое финансирование в рамках концессионного соглашения).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Предполагаемый срок начала эксплуатации платного участка – 2013 г. Период окупаемости – 13 лет. Продолжительность периода эксплуатации дороги на платной основе – 30 лет. Такой срок позволяет привлечь в проект инвестора с максимальным количеством денежных средств. Уменьшение срока приведет к снижению суммы вложений частного инвестора. Увеличение же данного срока не приводит к значительному увеличению суммы его вложений.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 учетом продолжительности строительства общий срок концессионного соглашения составляет 35 лет. Проект должен оказать положительный социальный и бюджетный эффект и, следовательно, может быть частично профинансирован за счет государства. Государственное финансирование проекта на стадии строительства объекта предполагается осуществлять за счет средств Инвестиционного фонда. Форма финансирования – субсидии. Кроме предоставления субсидий на строительство государственный участник проекта финансирует и обеспечивает разработку проекта дороги, а также подготовку территории, включая выкуп и изъятие земель.</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Размер платы за проезд и эластичность спроса на проезд по платной дороге в зависимости от размера платы были определены в соответствии с «Методикой расчета размера платы за проезд по платным автомобильным дорогам и дорожным объектам…» [98]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Задача оценки генерируемого финансового потока решается с помощью следующего алгоритма: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1) проводится анализ существующей интенсивности движения на сети автомобильных дорог зоны тяготения платной автомагистрали;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2) рассчитывается максимальное значение экономии, достигаемой пользователем при проезде по платной автомагистрали в сравнении с альтернативными маршрутами;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3) проводится анкетирование водителей легковых автомобилей и руководителей автотранспортных предприятий – потенциальных пользователей платной автомагистрали;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4) определяются оптимальные значения размеров платы за проезд для каждой группы автомобилей;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5) для рассчитанных значений размеров платы и с учетом анализа существующей интенсивности и планов развития дорожной сети осуществляется моделирование транспортных потоков на платной и прилегающих альтернативных автодорогах.</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Проведенные социологические исследования показывают, что наличие не менее 80% потенциальных пользователей автомобильной дороги поддерживает решение о ее строительстве.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«Транспортная стратегия Российской Федерации на период до 2030 года» определила масштабную программу развития сети автомобильных дорог, в реализации которой важная роль отведена проектам ГЧП. Это в полной мере относится к строительству платных и скоростных автомагистралей, региональных автодорог, дорог, позволяющих интегрировать разобщенную дорожную сеть отдельных областей в единую транспортную систему России, модернизировать и разгрузить крупные транспортные узлы, обеспечить доступ к морским портам и потенциальным точкам экономического роста, наладить круглогодичную связь по дорогам общего пользования с перспективными населенными пунктами, развить местную автодорожную сеть с твердым покрытием, которая в будущем должна связать все населенные пункты. В связи с этим автодорожные ГЧП должны стать объектом внимания не только федеральных и отдельных региональных органов исполнительной власти, но и органов местного самоуправления.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8.2. ГЧП на объектах железнодорожного транспорта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Железнодорожный транспорт выполняет 62% общего объема грузовых перевозок или 84,3% общего грузооборота (без учета трубопроводного). Общая протяженность российских железных дорог – более 86 тыс. км. Предприятия негосударственных форм собственности осуществляют на промышленном железнодорожном транспорте 85,6% перевозок грузов. При этом на 1000 кв. км в стране приходится всего 5 км железных дорог, что в десятки раз ниже мировых стандартов для развитых стран.</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Если обратиться к Транспортной стратегии, то в ее Инерционном варианте на период 2010–2015 гг. при общем объеме капитальных вложений в железнодорожный транспорт в 7,665 трлн руб. более 90% средств предусматривается привлечь из внебюджетных источников (6,926 трлн руб.) и менее 10% – из федерального и региональных бюджетов. ГЧП должно стать способом реализации проектов новых капиталоемких железнодорожных линий с окупаемостью 10–15 лет.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Железнодорожный транспорт является классической сферой применения ГЧП. В перспективе передача объектов отрасли в концессию может стать основным инструментом экономической реформы на железнодорожном транспорте.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Этот тезис подтверждается не только историческим (о чем мы говорили в части I настоящего пособия), но и современным европейским и мировым опытом (в том числе Китая и Индии). Так, компанией «</w:t>
      </w:r>
      <w:proofErr w:type="spellStart"/>
      <w:r>
        <w:rPr>
          <w:rFonts w:ascii="Tahoma" w:hAnsi="Tahoma" w:cs="Tahoma"/>
          <w:color w:val="424242"/>
          <w:sz w:val="21"/>
          <w:szCs w:val="21"/>
        </w:rPr>
        <w:t>Siemens</w:t>
      </w:r>
      <w:proofErr w:type="spellEnd"/>
      <w:r>
        <w:rPr>
          <w:rFonts w:ascii="Tahoma" w:hAnsi="Tahoma" w:cs="Tahoma"/>
          <w:color w:val="424242"/>
          <w:sz w:val="21"/>
          <w:szCs w:val="21"/>
        </w:rPr>
        <w:t xml:space="preserve">» на условиях концессии был реализован проект железной дороги в Мексике длиной 150 км, соединяющей восемь городов. Срок концессии – 30 лет. Общий объем инвестиций в проект составил 1,1 млрд долл. В качестве другого примера назовем проект ГЧП высокоскоростной магистрали HSL </w:t>
      </w:r>
      <w:proofErr w:type="spellStart"/>
      <w:r>
        <w:rPr>
          <w:rFonts w:ascii="Tahoma" w:hAnsi="Tahoma" w:cs="Tahoma"/>
          <w:color w:val="424242"/>
          <w:sz w:val="21"/>
          <w:szCs w:val="21"/>
        </w:rPr>
        <w:t>Zuid</w:t>
      </w:r>
      <w:proofErr w:type="spellEnd"/>
      <w:r>
        <w:rPr>
          <w:rFonts w:ascii="Tahoma" w:hAnsi="Tahoma" w:cs="Tahoma"/>
          <w:color w:val="424242"/>
          <w:sz w:val="21"/>
          <w:szCs w:val="21"/>
        </w:rPr>
        <w:t xml:space="preserve"> в Нидерландах, весь объем инвестиций в который – 1,2 млрд евро – был внесен частными инвесторами (90% – частными банками, 10% – промышленными компаниями, в том числе «</w:t>
      </w:r>
      <w:proofErr w:type="spellStart"/>
      <w:r>
        <w:rPr>
          <w:rFonts w:ascii="Tahoma" w:hAnsi="Tahoma" w:cs="Tahoma"/>
          <w:color w:val="424242"/>
          <w:sz w:val="21"/>
          <w:szCs w:val="21"/>
        </w:rPr>
        <w:t>Siemens</w:t>
      </w:r>
      <w:proofErr w:type="spellEnd"/>
      <w:r>
        <w:rPr>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Ряд проектов в области железнодорожного транспорта на базе модели ГЧП реализуется с участием международных финансовых институтов. Европейский инвестиционный банк реализовал по схеме ГЧП железную дорогу </w:t>
      </w:r>
      <w:proofErr w:type="spellStart"/>
      <w:r>
        <w:rPr>
          <w:rFonts w:ascii="Tahoma" w:hAnsi="Tahoma" w:cs="Tahoma"/>
          <w:color w:val="424242"/>
          <w:sz w:val="21"/>
          <w:szCs w:val="21"/>
        </w:rPr>
        <w:t>Oresund</w:t>
      </w:r>
      <w:proofErr w:type="spellEnd"/>
      <w:r>
        <w:rPr>
          <w:rFonts w:ascii="Tahoma" w:hAnsi="Tahoma" w:cs="Tahoma"/>
          <w:color w:val="424242"/>
          <w:sz w:val="21"/>
          <w:szCs w:val="21"/>
        </w:rPr>
        <w:t xml:space="preserve"> (Дания, Швеция), высокоскоростную магистраль HSL </w:t>
      </w:r>
      <w:proofErr w:type="spellStart"/>
      <w:r>
        <w:rPr>
          <w:rFonts w:ascii="Tahoma" w:hAnsi="Tahoma" w:cs="Tahoma"/>
          <w:color w:val="424242"/>
          <w:sz w:val="21"/>
          <w:szCs w:val="21"/>
        </w:rPr>
        <w:t>Zuid</w:t>
      </w:r>
      <w:proofErr w:type="spellEnd"/>
      <w:r>
        <w:rPr>
          <w:rFonts w:ascii="Tahoma" w:hAnsi="Tahoma" w:cs="Tahoma"/>
          <w:color w:val="424242"/>
          <w:sz w:val="21"/>
          <w:szCs w:val="21"/>
        </w:rPr>
        <w:t xml:space="preserve"> (Нидерланды), туннель </w:t>
      </w:r>
      <w:proofErr w:type="spellStart"/>
      <w:r>
        <w:rPr>
          <w:rFonts w:ascii="Tahoma" w:hAnsi="Tahoma" w:cs="Tahoma"/>
          <w:color w:val="424242"/>
          <w:sz w:val="21"/>
          <w:szCs w:val="21"/>
        </w:rPr>
        <w:t>Rail</w:t>
      </w:r>
      <w:proofErr w:type="spellEnd"/>
      <w:r>
        <w:rPr>
          <w:rFonts w:ascii="Tahoma" w:hAnsi="Tahoma" w:cs="Tahoma"/>
          <w:color w:val="424242"/>
          <w:sz w:val="21"/>
          <w:szCs w:val="21"/>
        </w:rPr>
        <w:t xml:space="preserve"> </w:t>
      </w:r>
      <w:proofErr w:type="spellStart"/>
      <w:r>
        <w:rPr>
          <w:rFonts w:ascii="Tahoma" w:hAnsi="Tahoma" w:cs="Tahoma"/>
          <w:color w:val="424242"/>
          <w:sz w:val="21"/>
          <w:szCs w:val="21"/>
        </w:rPr>
        <w:t>Link</w:t>
      </w:r>
      <w:proofErr w:type="spellEnd"/>
      <w:r>
        <w:rPr>
          <w:rFonts w:ascii="Tahoma" w:hAnsi="Tahoma" w:cs="Tahoma"/>
          <w:color w:val="424242"/>
          <w:sz w:val="21"/>
          <w:szCs w:val="21"/>
        </w:rPr>
        <w:t xml:space="preserve"> (Англия). Крупные частные инвестиционные банки (HSBC, </w:t>
      </w:r>
      <w:proofErr w:type="spellStart"/>
      <w:r>
        <w:rPr>
          <w:rFonts w:ascii="Tahoma" w:hAnsi="Tahoma" w:cs="Tahoma"/>
          <w:color w:val="424242"/>
          <w:sz w:val="21"/>
          <w:szCs w:val="21"/>
        </w:rPr>
        <w:t>Deutsche</w:t>
      </w:r>
      <w:proofErr w:type="spellEnd"/>
      <w:r>
        <w:rPr>
          <w:rFonts w:ascii="Tahoma" w:hAnsi="Tahoma" w:cs="Tahoma"/>
          <w:color w:val="424242"/>
          <w:sz w:val="21"/>
          <w:szCs w:val="21"/>
        </w:rPr>
        <w:t xml:space="preserve"> </w:t>
      </w:r>
      <w:proofErr w:type="spellStart"/>
      <w:r>
        <w:rPr>
          <w:rFonts w:ascii="Tahoma" w:hAnsi="Tahoma" w:cs="Tahoma"/>
          <w:color w:val="424242"/>
          <w:sz w:val="21"/>
          <w:szCs w:val="21"/>
        </w:rPr>
        <w:t>Bank</w:t>
      </w:r>
      <w:proofErr w:type="spellEnd"/>
      <w:r>
        <w:rPr>
          <w:rFonts w:ascii="Tahoma" w:hAnsi="Tahoma" w:cs="Tahoma"/>
          <w:color w:val="424242"/>
          <w:sz w:val="21"/>
          <w:szCs w:val="21"/>
        </w:rPr>
        <w:t xml:space="preserve">, </w:t>
      </w:r>
      <w:proofErr w:type="spellStart"/>
      <w:r>
        <w:rPr>
          <w:rFonts w:ascii="Tahoma" w:hAnsi="Tahoma" w:cs="Tahoma"/>
          <w:color w:val="424242"/>
          <w:sz w:val="21"/>
          <w:szCs w:val="21"/>
        </w:rPr>
        <w:t>Bank</w:t>
      </w:r>
      <w:proofErr w:type="spellEnd"/>
      <w:r>
        <w:rPr>
          <w:rFonts w:ascii="Tahoma" w:hAnsi="Tahoma" w:cs="Tahoma"/>
          <w:color w:val="424242"/>
          <w:sz w:val="21"/>
          <w:szCs w:val="21"/>
        </w:rPr>
        <w:t xml:space="preserve"> </w:t>
      </w:r>
      <w:proofErr w:type="spellStart"/>
      <w:r>
        <w:rPr>
          <w:rFonts w:ascii="Tahoma" w:hAnsi="Tahoma" w:cs="Tahoma"/>
          <w:color w:val="424242"/>
          <w:sz w:val="21"/>
          <w:szCs w:val="21"/>
        </w:rPr>
        <w:t>of</w:t>
      </w:r>
      <w:proofErr w:type="spellEnd"/>
      <w:r>
        <w:rPr>
          <w:rFonts w:ascii="Tahoma" w:hAnsi="Tahoma" w:cs="Tahoma"/>
          <w:color w:val="424242"/>
          <w:sz w:val="21"/>
          <w:szCs w:val="21"/>
        </w:rPr>
        <w:t xml:space="preserve"> </w:t>
      </w:r>
      <w:proofErr w:type="spellStart"/>
      <w:r>
        <w:rPr>
          <w:rFonts w:ascii="Tahoma" w:hAnsi="Tahoma" w:cs="Tahoma"/>
          <w:color w:val="424242"/>
          <w:sz w:val="21"/>
          <w:szCs w:val="21"/>
        </w:rPr>
        <w:t>America</w:t>
      </w:r>
      <w:proofErr w:type="spellEnd"/>
      <w:r>
        <w:rPr>
          <w:rFonts w:ascii="Tahoma" w:hAnsi="Tahoma" w:cs="Tahoma"/>
          <w:color w:val="424242"/>
          <w:sz w:val="21"/>
          <w:szCs w:val="21"/>
        </w:rPr>
        <w:t>) тоже участвуют в проектах ГЧП в сфере строительства объектов железнодорожной инфраструктуры.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Основные направления эффективного использования механизмов ГЧП: комплексная эксплуатация отдельных участков железных дорог; управление и содержание участков сети железных дорог; выполнение перевозок на сети, принадлежащей государству; управление и содержание терминальных объектов (вокзалы, грузовые терминалы).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Российской Федерации планируется использовать различные технологии финансирования проектов ГЧП, такие как экспортное, проектное и частично сметное финансирование (например, в проектах комплексного освоения территорий), и различные формы ГЧП – от концессий, арендных и лизинговых схем до </w:t>
      </w:r>
      <w:proofErr w:type="spellStart"/>
      <w:r>
        <w:rPr>
          <w:rFonts w:ascii="Tahoma" w:hAnsi="Tahoma" w:cs="Tahoma"/>
          <w:color w:val="424242"/>
          <w:sz w:val="21"/>
          <w:szCs w:val="21"/>
        </w:rPr>
        <w:t>софинансирования</w:t>
      </w:r>
      <w:proofErr w:type="spellEnd"/>
      <w:r>
        <w:rPr>
          <w:rFonts w:ascii="Tahoma" w:hAnsi="Tahoma" w:cs="Tahoma"/>
          <w:color w:val="424242"/>
          <w:sz w:val="21"/>
          <w:szCs w:val="21"/>
        </w:rPr>
        <w:t xml:space="preserve"> проектов в рамках государственно-частного партнерства. Потенциал российских институтов развития, банков и крупнейших частных и </w:t>
      </w:r>
      <w:proofErr w:type="spellStart"/>
      <w:r>
        <w:rPr>
          <w:rFonts w:ascii="Tahoma" w:hAnsi="Tahoma" w:cs="Tahoma"/>
          <w:color w:val="424242"/>
          <w:sz w:val="21"/>
          <w:szCs w:val="21"/>
        </w:rPr>
        <w:t>частно</w:t>
      </w:r>
      <w:proofErr w:type="spellEnd"/>
      <w:r>
        <w:rPr>
          <w:rFonts w:ascii="Tahoma" w:hAnsi="Tahoma" w:cs="Tahoma"/>
          <w:color w:val="424242"/>
          <w:sz w:val="21"/>
          <w:szCs w:val="21"/>
        </w:rPr>
        <w:t>-государственных компаний сегодня, несмотря на кризис, позволяет вести речь о реализации железнодорожных инфраструктурных проектов на условиях ГЧП в беспрецедентно крупных масштабах.</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области железнодорожного транспорта использование механизма ГЧП предполагается в проектах строительства высокоскоростных железнодорожных магистралей Москва – Санкт-Петербург, Москва – Нижний Новгород, Санкт-Петербург – </w:t>
      </w:r>
      <w:proofErr w:type="spellStart"/>
      <w:r>
        <w:rPr>
          <w:rFonts w:ascii="Tahoma" w:hAnsi="Tahoma" w:cs="Tahoma"/>
          <w:color w:val="424242"/>
          <w:sz w:val="21"/>
          <w:szCs w:val="21"/>
        </w:rPr>
        <w:t>Бусловская</w:t>
      </w:r>
      <w:proofErr w:type="spellEnd"/>
      <w:r>
        <w:rPr>
          <w:rFonts w:ascii="Tahoma" w:hAnsi="Tahoma" w:cs="Tahoma"/>
          <w:color w:val="424242"/>
          <w:sz w:val="21"/>
          <w:szCs w:val="21"/>
        </w:rPr>
        <w:t>. Они обеспечат перенос пассажирского движения с существующих перегруженных железнодорожных линий и использование последних исключительно для грузовых перевозок. Эти железные дороги составят реальную конкуренцию автомобильному и воздушному транспорту. Общий экономический эффект от проектов будет достигнут за счет повышения эффективности грузоперевозок, дополнительного стимулирования экономического развития как минимум трех регионов Российской Федерации и создания дополнительных рабочих мест в районах прохождения трассы.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К важным железнодорожным проектам на основе ГЧП, получившим поддержку Инвестиционного фонда РФ, относятся: </w:t>
      </w:r>
      <w:proofErr w:type="spellStart"/>
      <w:r>
        <w:rPr>
          <w:rFonts w:ascii="Tahoma" w:hAnsi="Tahoma" w:cs="Tahoma"/>
          <w:color w:val="424242"/>
          <w:sz w:val="21"/>
          <w:szCs w:val="21"/>
        </w:rPr>
        <w:t>грузообразующие</w:t>
      </w:r>
      <w:proofErr w:type="spellEnd"/>
      <w:r>
        <w:rPr>
          <w:rFonts w:ascii="Tahoma" w:hAnsi="Tahoma" w:cs="Tahoma"/>
          <w:color w:val="424242"/>
          <w:sz w:val="21"/>
          <w:szCs w:val="21"/>
        </w:rPr>
        <w:t xml:space="preserve"> и технологические линии в рамках проектов «Урал промышленный – Урал полярный», «</w:t>
      </w:r>
      <w:proofErr w:type="spellStart"/>
      <w:r>
        <w:rPr>
          <w:rFonts w:ascii="Tahoma" w:hAnsi="Tahoma" w:cs="Tahoma"/>
          <w:color w:val="424242"/>
          <w:sz w:val="21"/>
          <w:szCs w:val="21"/>
        </w:rPr>
        <w:t>Белкомур</w:t>
      </w:r>
      <w:proofErr w:type="spellEnd"/>
      <w:r>
        <w:rPr>
          <w:rFonts w:ascii="Tahoma" w:hAnsi="Tahoma" w:cs="Tahoma"/>
          <w:color w:val="424242"/>
          <w:sz w:val="21"/>
          <w:szCs w:val="21"/>
        </w:rPr>
        <w:t xml:space="preserve">» (Белое море – Коми – Урал), «Комплексное развитие Нижнего </w:t>
      </w:r>
      <w:proofErr w:type="spellStart"/>
      <w:r>
        <w:rPr>
          <w:rFonts w:ascii="Tahoma" w:hAnsi="Tahoma" w:cs="Tahoma"/>
          <w:color w:val="424242"/>
          <w:sz w:val="21"/>
          <w:szCs w:val="21"/>
        </w:rPr>
        <w:t>Приангарья</w:t>
      </w:r>
      <w:proofErr w:type="spellEnd"/>
      <w:r>
        <w:rPr>
          <w:rFonts w:ascii="Tahoma" w:hAnsi="Tahoma" w:cs="Tahoma"/>
          <w:color w:val="424242"/>
          <w:sz w:val="21"/>
          <w:szCs w:val="21"/>
        </w:rPr>
        <w:t xml:space="preserve">» и др.; строительство железной дороги Кызыл – Курагино (505 км), которая свяжет Республику Тыва с железнодорожной сетью России, проекты строительства подъездных путей к месторождениям полезных ископаемых (коксующиеся угли, медь, молибден и др.), железная дорога Нарын – </w:t>
      </w:r>
      <w:proofErr w:type="spellStart"/>
      <w:r>
        <w:rPr>
          <w:rFonts w:ascii="Tahoma" w:hAnsi="Tahoma" w:cs="Tahoma"/>
          <w:color w:val="424242"/>
          <w:sz w:val="21"/>
          <w:szCs w:val="21"/>
        </w:rPr>
        <w:t>Лугокан</w:t>
      </w:r>
      <w:proofErr w:type="spellEnd"/>
      <w:r>
        <w:rPr>
          <w:rFonts w:ascii="Tahoma" w:hAnsi="Tahoma" w:cs="Tahoma"/>
          <w:color w:val="424242"/>
          <w:sz w:val="21"/>
          <w:szCs w:val="21"/>
        </w:rPr>
        <w:t xml:space="preserve"> в Читинской области (375 км) для освоения месторождений полиметаллов; проекты развития крупных транспортных узлов, припортовых железнодорожных станций и др.</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этих проектах предусматриваются участие и привлечение инвестиций компаний ОАО РЖД, «Газпром», «ЛУКОЙЛ», ОПК (группа </w:t>
      </w:r>
      <w:proofErr w:type="spellStart"/>
      <w:r>
        <w:rPr>
          <w:rFonts w:ascii="Tahoma" w:hAnsi="Tahoma" w:cs="Tahoma"/>
          <w:color w:val="424242"/>
          <w:sz w:val="21"/>
          <w:szCs w:val="21"/>
        </w:rPr>
        <w:t>Межпромбанка</w:t>
      </w:r>
      <w:proofErr w:type="spellEnd"/>
      <w:r>
        <w:rPr>
          <w:rFonts w:ascii="Tahoma" w:hAnsi="Tahoma" w:cs="Tahoma"/>
          <w:color w:val="424242"/>
          <w:sz w:val="21"/>
          <w:szCs w:val="21"/>
        </w:rPr>
        <w:t>), «НОВАТЭК», ТНК – ВР, «</w:t>
      </w:r>
      <w:proofErr w:type="spellStart"/>
      <w:r>
        <w:rPr>
          <w:rFonts w:ascii="Tahoma" w:hAnsi="Tahoma" w:cs="Tahoma"/>
          <w:color w:val="424242"/>
          <w:sz w:val="21"/>
          <w:szCs w:val="21"/>
        </w:rPr>
        <w:t>Транснефть</w:t>
      </w:r>
      <w:proofErr w:type="spellEnd"/>
      <w:r>
        <w:rPr>
          <w:rFonts w:ascii="Tahoma" w:hAnsi="Tahoma" w:cs="Tahoma"/>
          <w:color w:val="424242"/>
          <w:sz w:val="21"/>
          <w:szCs w:val="21"/>
        </w:rPr>
        <w:t xml:space="preserve">», ОАО «Норильский никель», «РУСАЛ», «СУЭК», ОАО «Азот», ОАО «Сильвинит» и др. При этом роль компаний с государственным (в том числе 100-процентным) участием в проектах ГЧП представляется противоречивой. С одной стороны, они выступают как партнер, представляющий интересы государства, но с другой – их уставная задача – максимизация прибыли в результате коммерческой деятельности и соответственно рыночное поведение. В качестве </w:t>
      </w:r>
      <w:proofErr w:type="spellStart"/>
      <w:r>
        <w:rPr>
          <w:rFonts w:ascii="Tahoma" w:hAnsi="Tahoma" w:cs="Tahoma"/>
          <w:color w:val="424242"/>
          <w:sz w:val="21"/>
          <w:szCs w:val="21"/>
        </w:rPr>
        <w:t>соинициаторов</w:t>
      </w:r>
      <w:proofErr w:type="spellEnd"/>
      <w:r>
        <w:rPr>
          <w:rFonts w:ascii="Tahoma" w:hAnsi="Tahoma" w:cs="Tahoma"/>
          <w:color w:val="424242"/>
          <w:sz w:val="21"/>
          <w:szCs w:val="21"/>
        </w:rPr>
        <w:t xml:space="preserve"> проектов выступают администрации соответствующих субъектов РФ (или юридические лица, представляющие их интересы): республик Тыва, Коми, Бурятия, Коми-Пермяцкого автономного округа, Читинской, Архангельской, Пермской, Мурманской областей, Красноярского края (Корпорация развития Красноярского края). По ряду проектов в целях их реализации (начиная с разработки проектной документации) могут создаваться корпорации (например, ОАО «Корпорация Урал промышленный – Урал полярный») и управляющие компании.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результате государственно-частное партнерство на железнодорожном транспорте будет формироваться и реализовываться по трем принципиальным схемам: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1) долевое финансирование строительства, реконструкции и, возможно, эксплуатации железнодорожной инфраструктуры, в том числе с использованием инвестиционных ресурсов государственных институтов развития;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2) финансирование строительства, реконструкции и эксплуатации железнодорожной инфраструктуры за счет заинтересованных пользователей железнодорожных услуг;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3) государственное стимулирование инвестиционной активности частных компаний, включая транспортные и промышленные корпорации и предприятия.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ситуации, когда потребности в инвестициях огромны, но существуют бюджетные ограничения, использование финансового инжиниринга, а именно модели ГЧП в части реализации крупных инфраструктурных проектов может стать эффективным решением проблемы развития железнодорожного транспорта России.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8.3. ГЧП на объектах морского транспорта и внутренних водных путей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Государственная политика на морском транспорте направлена на реализацию положений Морской доктрины Российской Федерации [99] и Транспортной стратегии Российской Федерации на период до 2030 года.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соответствии с Доктриной основными целями судоходной политики Российской Федерации являются поддержание ее флота и морских портов на уровне, гарантирующем экономическую независимость и национальную безопасность, сокращение транспортных издержек, увеличение объемов внешней торговли и транзитных перевозок через территорию страны.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К основным направлениям использования механизмов ГЧП в сфере морского и речного транспорта следует отнести: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развитие инфраструктуры, расширение объемов и номенклатуры портовых услуг в соответствии с перспективами роста объемов перевозок, внутренней и внешней торговли, повышения доли отечественных портов в переработке внешнеторговых грузов;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строительство специализированных, в том числе спортивных и туристских, портов;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снижение административных и технологических барьеров при обработке судов и грузов, внедрение системы автоматической обработки информации;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строительство и обслуживание комплексов для таможенного контроля грузов; повышение качества и снижение стоимости стивидорных услуг (по перевалке и внутрипортовому экспедированию грузов, оформлению товарно-транспортных документов, таможенных процедур);</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совершенствование систем безопасности мореплавания, включая связь, навигационно-гидрографическое обслуживание судоходства;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обновление и строительство портового флота, включая ледокольный флот.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настоящее время в портовом хозяйстве накоплен позитивный опыт работы с бизнесом по схемам ГЧП. Федеральное государственное унитарное предприятие «</w:t>
      </w:r>
      <w:proofErr w:type="spellStart"/>
      <w:r>
        <w:rPr>
          <w:rFonts w:ascii="Tahoma" w:hAnsi="Tahoma" w:cs="Tahoma"/>
          <w:color w:val="424242"/>
          <w:sz w:val="21"/>
          <w:szCs w:val="21"/>
        </w:rPr>
        <w:t>Росморпорт</w:t>
      </w:r>
      <w:proofErr w:type="spellEnd"/>
      <w:r>
        <w:rPr>
          <w:rFonts w:ascii="Tahoma" w:hAnsi="Tahoma" w:cs="Tahoma"/>
          <w:color w:val="424242"/>
          <w:sz w:val="21"/>
          <w:szCs w:val="21"/>
        </w:rPr>
        <w:t>» и его филиалы привлекают инвесторов к проектам создания и реконструкции гидротехнических сооружений, находящихся в федеральной собственности, к дноуглубительным работам, используя механизмы аренды и контракты по схеме ВОТ. Возврат средств инвестора осуществляется посредством зачета его обязательств по договору о возмещении затрат балансодержателя на содержание арендованного имущества федеральной собственности, а также за счет части портовых сборов, взимаемых ФГУП «</w:t>
      </w:r>
      <w:proofErr w:type="spellStart"/>
      <w:r>
        <w:rPr>
          <w:rFonts w:ascii="Tahoma" w:hAnsi="Tahoma" w:cs="Tahoma"/>
          <w:color w:val="424242"/>
          <w:sz w:val="21"/>
          <w:szCs w:val="21"/>
        </w:rPr>
        <w:t>Росморпорт</w:t>
      </w:r>
      <w:proofErr w:type="spellEnd"/>
      <w:r>
        <w:rPr>
          <w:rFonts w:ascii="Tahoma" w:hAnsi="Tahoma" w:cs="Tahoma"/>
          <w:color w:val="424242"/>
          <w:sz w:val="21"/>
          <w:szCs w:val="21"/>
        </w:rPr>
        <w:t>» с судов, обслуживаемых на объектах федеральной собственности.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Внесенные в Бюджетный кодекс РФ изменения в части исключения имущества федеральных государственных унитарных предприятий из неналоговых доходов федерального бюджета от использования имущества, находящегося в государственной собственности, которые вступили в силу с 2008 г., позволили «</w:t>
      </w:r>
      <w:proofErr w:type="spellStart"/>
      <w:r>
        <w:rPr>
          <w:rFonts w:ascii="Tahoma" w:hAnsi="Tahoma" w:cs="Tahoma"/>
          <w:color w:val="424242"/>
          <w:sz w:val="21"/>
          <w:szCs w:val="21"/>
        </w:rPr>
        <w:t>Росморпорту</w:t>
      </w:r>
      <w:proofErr w:type="spellEnd"/>
      <w:r>
        <w:rPr>
          <w:rFonts w:ascii="Tahoma" w:hAnsi="Tahoma" w:cs="Tahoma"/>
          <w:color w:val="424242"/>
          <w:sz w:val="21"/>
          <w:szCs w:val="21"/>
        </w:rPr>
        <w:t>» как балансодержателю портового имущества перезаключать арендные договоры с частными стивидорскими компаниями в портах на срок до 49 лет вместо ранее принятого срока – до 1 года. Оптимальный срок арендных договоров может составить 20–25 лет, что соответствует периоду 100-процентной амортизации причалов. Гарантии стабильности и соответственно возврата капитальных вложений стимулировали портовых арендаторов предлагать государству инвестиционные программы, включающие в том числе затраты по капитальному и текущему ремонту объектов портового хозяйства. Первыми на новых условиях были заключены договоры петербургского филиала «</w:t>
      </w:r>
      <w:proofErr w:type="spellStart"/>
      <w:r>
        <w:rPr>
          <w:rFonts w:ascii="Tahoma" w:hAnsi="Tahoma" w:cs="Tahoma"/>
          <w:color w:val="424242"/>
          <w:sz w:val="21"/>
          <w:szCs w:val="21"/>
        </w:rPr>
        <w:t>Росморпорта</w:t>
      </w:r>
      <w:proofErr w:type="spellEnd"/>
      <w:r>
        <w:rPr>
          <w:rFonts w:ascii="Tahoma" w:hAnsi="Tahoma" w:cs="Tahoma"/>
          <w:color w:val="424242"/>
          <w:sz w:val="21"/>
          <w:szCs w:val="21"/>
        </w:rPr>
        <w:t xml:space="preserve">» с ЗАО «Первый контейнерный терминал» и ОАО «Лесной терминал “ФАКТОР”». Новые договоры прорабатываются со всеми крупнейшими портовыми арендаторами: стивидорными компаниями, другими акционерными обществами, специализирующимися на обработке конкретных грузов (нефть, лес, </w:t>
      </w:r>
      <w:proofErr w:type="spellStart"/>
      <w:r>
        <w:rPr>
          <w:rFonts w:ascii="Tahoma" w:hAnsi="Tahoma" w:cs="Tahoma"/>
          <w:color w:val="424242"/>
          <w:sz w:val="21"/>
          <w:szCs w:val="21"/>
        </w:rPr>
        <w:t>балкерные</w:t>
      </w:r>
      <w:proofErr w:type="spellEnd"/>
      <w:r>
        <w:rPr>
          <w:rFonts w:ascii="Tahoma" w:hAnsi="Tahoma" w:cs="Tahoma"/>
          <w:color w:val="424242"/>
          <w:sz w:val="21"/>
          <w:szCs w:val="21"/>
        </w:rPr>
        <w:t xml:space="preserve"> грузы, контейнеры, рефрижераторы, автомобили) [100]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Имеются перспективы развития ГЧП на объектах внутренних водных путей. Однако следует учесть, что отрасль длительное время не реформировалась и не получала достаточного бюджетного финансирования, которое сделало бы ее привлекательной для частного бизнеса. Неэффективна и тарифная система, что делает водный транспорт менее конкурентоспособным по сравнению с другими видами транспорта. Дополнительные средства для развития и поддержания инфраструктуры и, как следствие, создания условий для ГЧП здесь могут дать, например, доходы от введения платы за пользование отдельными </w:t>
      </w:r>
      <w:proofErr w:type="spellStart"/>
      <w:r>
        <w:rPr>
          <w:rFonts w:ascii="Tahoma" w:hAnsi="Tahoma" w:cs="Tahoma"/>
          <w:color w:val="424242"/>
          <w:sz w:val="21"/>
          <w:szCs w:val="21"/>
        </w:rPr>
        <w:t>гидро</w:t>
      </w:r>
      <w:proofErr w:type="spellEnd"/>
      <w:r>
        <w:rPr>
          <w:rFonts w:ascii="Tahoma" w:hAnsi="Tahoma" w:cs="Tahoma"/>
          <w:color w:val="424242"/>
          <w:sz w:val="21"/>
          <w:szCs w:val="21"/>
        </w:rPr>
        <w:t>– и прочими сооружениями, в первую очередь в европейской части Российской Федерации (на реках Дон, Волга, Волго-Балтийском канале).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8.4. ГЧП на объектах воздушного транспорта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современном мире основными объектами ГЧП на воздушном транспорте стали строительство и модернизация аэропортов, управление и содержание взлетно-посадочных полос, аэропортовых комплексов или аэродромных объектов, централизованное управление и комплексное развитие аэропортов, где большинство проектов оцениваются как достаточно рентабельные.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Транспортная стратегия Российской Федерации констатировала наличие резкого отставания инфраструктуры и оборудования отечественных аэропортов от уровня развития международной гражданской авиации, отставание во внедрении современных средств и технологий в сфере организации воздушного движения, систем автоматической посадки и других радиотехнических систем, в развитии смежной, тыловой и складской инфраструктуры. Модернизация и развитие инфраструктуры воздушного транспорта России объявлены стратегическим приоритетом в сфере гражданской авиации. Сферой применения ГЧП здесь может стать государственное имущество, не подлежащее приватизации, имеются в виду, в частности, модернизация и эксплуатация взлетно-посадочных полос и рулежных дорожек, стоянок и перронов, светосигнального оборудования. При этом заключение соглашений о ГЧП в допустимой российским законодательством форме могло бы явиться инструментом урегулирования отношений собственности в аэропортах, где частные компании фактически уже используют не подлежащее приватизации государственное имущество. Необходимо совершенствовать нормативно-правовую базу, которая определила бы правила передачи в управление частным операторам аэропортов имущества, не подлежащего приватизации, возложения на них ответственности за обеспечение пользователей качественными услугами и содержание имущества в нормативном состоянии, а также условия предоставления прав получать сборы, например за взлет-посадку.</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Практика применения инструментария ГЧП в нашей стране крайне ограниченна. Серьезный урон планам включения частного сектора в деятельность по развитию системы региональных аэропортов нанес финансовый кризис.</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Рассмотрим на примере Санкт-Петербургского аэропорта «Пулково» вариант использования механизма ГЧП в реальной практике. Впервые в России реструктуризации подлежит успешно действующий крупный аэропорт, инфраструктурный объект регионального и международного значения. Реализация данного проекта должна проходить без приостановления деятельности аэропорта, без снижения качества оказания услуг, а, напротив, с поэтапным увеличением пропускной способности вплоть до уровня международного пересадочного узла – около 7,4 млн человек к 2010 г. и с возможностью увеличения до 22 млн человек к 2025 г. Работы будут выполняться по проекту английского архитектурного бюро, победившего на отдельном конкурсе 2007 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Старт проекту был дан 16 апреля 2008 г., когда Правительство Санкт-Петербурга приняло постановление № 393 «О заключении соглашения о создании, реконструкции и эксплуатации на основе государственно-частного партнерства объектов, входящих в состав имущества аэропорта “Пулково”» и утвердило конкурсную документацию. Важной особенностью проекта является наличие действующего оператора аэропорта ОАО «Пулково» (100% акций принадлежат Санкт-Петербургу), которому на правах собственности принадлежит ряд объектов инфраструктуры аэропорта. Благодаря этому обстоятельству ОАО «Пулково» позиционируется в качестве третьего лица (после государства и частного инвестора), участвующего в соглашении. Кроме того, победителю конкурса, частному инвестору, должен быть передан без приостановления работы технологически сложный действующий объект и собственно </w:t>
      </w:r>
      <w:proofErr w:type="spellStart"/>
      <w:r>
        <w:rPr>
          <w:rFonts w:ascii="Tahoma" w:hAnsi="Tahoma" w:cs="Tahoma"/>
          <w:color w:val="424242"/>
          <w:sz w:val="21"/>
          <w:szCs w:val="21"/>
        </w:rPr>
        <w:t>аэропортный</w:t>
      </w:r>
      <w:proofErr w:type="spellEnd"/>
      <w:r>
        <w:rPr>
          <w:rFonts w:ascii="Tahoma" w:hAnsi="Tahoma" w:cs="Tahoma"/>
          <w:color w:val="424242"/>
          <w:sz w:val="21"/>
          <w:szCs w:val="21"/>
        </w:rPr>
        <w:t xml:space="preserve"> бизнес. Обновление аэропорта будет выполняться по проекту английского архитектора, предпринимателя </w:t>
      </w:r>
      <w:proofErr w:type="spellStart"/>
      <w:r>
        <w:rPr>
          <w:rFonts w:ascii="Tahoma" w:hAnsi="Tahoma" w:cs="Tahoma"/>
          <w:color w:val="424242"/>
          <w:sz w:val="21"/>
          <w:szCs w:val="21"/>
        </w:rPr>
        <w:t>Гриншоу</w:t>
      </w:r>
      <w:proofErr w:type="spellEnd"/>
      <w:r>
        <w:rPr>
          <w:rFonts w:ascii="Tahoma" w:hAnsi="Tahoma" w:cs="Tahoma"/>
          <w:color w:val="424242"/>
          <w:sz w:val="21"/>
          <w:szCs w:val="21"/>
        </w:rPr>
        <w:t xml:space="preserve">, который был признан лучшим на отдельном конкурсе в конце 2007 г. Работая по схеме ГЧП, победитель конкурса должен будет провести реконструкцию аэропорта, после чего получит его в управление сроком на 30 лет. Общий объем инвестиций в проект оценивается в 1 млрд евро. Ожидается участие в </w:t>
      </w:r>
      <w:proofErr w:type="spellStart"/>
      <w:r>
        <w:rPr>
          <w:rFonts w:ascii="Tahoma" w:hAnsi="Tahoma" w:cs="Tahoma"/>
          <w:color w:val="424242"/>
          <w:sz w:val="21"/>
          <w:szCs w:val="21"/>
        </w:rPr>
        <w:t>софинансировании</w:t>
      </w:r>
      <w:proofErr w:type="spellEnd"/>
      <w:r>
        <w:rPr>
          <w:rFonts w:ascii="Tahoma" w:hAnsi="Tahoma" w:cs="Tahoma"/>
          <w:color w:val="424242"/>
          <w:sz w:val="21"/>
          <w:szCs w:val="21"/>
        </w:rPr>
        <w:t xml:space="preserve"> Внешэкономбанка, ЕБРР и Международной финансовой корпорации. В целом инвестор должен будет вложить в этот проект не менее 30 млрд руб. Правительство Санкт-Петербурга ориентируется на завершение реконструкции аэропорта Пулково в 2013 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Международный конкурс на реализацию проекта по развитию международного аэропорта Пулково был объявлен весной 2008 г. и проходил в два этапа. К заключительному этапу конкурса были допущены три заявки от консорциумов ООО «Невский аэропорт» (оператор – «</w:t>
      </w:r>
      <w:proofErr w:type="spellStart"/>
      <w:r>
        <w:rPr>
          <w:rFonts w:ascii="Tahoma" w:hAnsi="Tahoma" w:cs="Tahoma"/>
          <w:color w:val="424242"/>
          <w:sz w:val="21"/>
          <w:szCs w:val="21"/>
        </w:rPr>
        <w:t>Changi</w:t>
      </w:r>
      <w:proofErr w:type="spellEnd"/>
      <w:r>
        <w:rPr>
          <w:rFonts w:ascii="Tahoma" w:hAnsi="Tahoma" w:cs="Tahoma"/>
          <w:color w:val="424242"/>
          <w:sz w:val="21"/>
          <w:szCs w:val="21"/>
        </w:rPr>
        <w:t xml:space="preserve"> </w:t>
      </w:r>
      <w:proofErr w:type="spellStart"/>
      <w:r>
        <w:rPr>
          <w:rFonts w:ascii="Tahoma" w:hAnsi="Tahoma" w:cs="Tahoma"/>
          <w:color w:val="424242"/>
          <w:sz w:val="21"/>
          <w:szCs w:val="21"/>
        </w:rPr>
        <w:t>airport</w:t>
      </w:r>
      <w:proofErr w:type="spellEnd"/>
      <w:r>
        <w:rPr>
          <w:rFonts w:ascii="Tahoma" w:hAnsi="Tahoma" w:cs="Tahoma"/>
          <w:color w:val="424242"/>
          <w:sz w:val="21"/>
          <w:szCs w:val="21"/>
        </w:rPr>
        <w:t>», инвестор – «Базовый элемент»), ООО «Воздушные ворота Северной столицы» (оператор – «</w:t>
      </w:r>
      <w:proofErr w:type="spellStart"/>
      <w:r>
        <w:rPr>
          <w:rFonts w:ascii="Tahoma" w:hAnsi="Tahoma" w:cs="Tahoma"/>
          <w:color w:val="424242"/>
          <w:sz w:val="21"/>
          <w:szCs w:val="21"/>
        </w:rPr>
        <w:t>Фрапорт</w:t>
      </w:r>
      <w:proofErr w:type="spellEnd"/>
      <w:r>
        <w:rPr>
          <w:rFonts w:ascii="Tahoma" w:hAnsi="Tahoma" w:cs="Tahoma"/>
          <w:color w:val="424242"/>
          <w:sz w:val="21"/>
          <w:szCs w:val="21"/>
        </w:rPr>
        <w:t>», инвестор – ВТБ) и ООО «</w:t>
      </w:r>
      <w:proofErr w:type="spellStart"/>
      <w:r>
        <w:rPr>
          <w:rFonts w:ascii="Tahoma" w:hAnsi="Tahoma" w:cs="Tahoma"/>
          <w:color w:val="424242"/>
          <w:sz w:val="21"/>
          <w:szCs w:val="21"/>
        </w:rPr>
        <w:t>Петропортконцессия</w:t>
      </w:r>
      <w:proofErr w:type="spellEnd"/>
      <w:r>
        <w:rPr>
          <w:rFonts w:ascii="Tahoma" w:hAnsi="Tahoma" w:cs="Tahoma"/>
          <w:color w:val="424242"/>
          <w:sz w:val="21"/>
          <w:szCs w:val="21"/>
        </w:rPr>
        <w:t>» (оператор – «</w:t>
      </w:r>
      <w:proofErr w:type="spellStart"/>
      <w:r>
        <w:rPr>
          <w:rFonts w:ascii="Tahoma" w:hAnsi="Tahoma" w:cs="Tahoma"/>
          <w:color w:val="424242"/>
          <w:sz w:val="21"/>
          <w:szCs w:val="21"/>
        </w:rPr>
        <w:t>Flughafen</w:t>
      </w:r>
      <w:proofErr w:type="spellEnd"/>
      <w:r>
        <w:rPr>
          <w:rFonts w:ascii="Tahoma" w:hAnsi="Tahoma" w:cs="Tahoma"/>
          <w:color w:val="424242"/>
          <w:sz w:val="21"/>
          <w:szCs w:val="21"/>
        </w:rPr>
        <w:t xml:space="preserve">», инвестор – «Газпромбанк»). Конкурсной документацией для участников были </w:t>
      </w:r>
      <w:proofErr w:type="spellStart"/>
      <w:r>
        <w:rPr>
          <w:rFonts w:ascii="Tahoma" w:hAnsi="Tahoma" w:cs="Tahoma"/>
          <w:color w:val="424242"/>
          <w:sz w:val="21"/>
          <w:szCs w:val="21"/>
        </w:rPr>
        <w:t>установ</w:t>
      </w:r>
      <w:proofErr w:type="spellEnd"/>
      <w:r>
        <w:rPr>
          <w:rFonts w:ascii="Tahoma" w:hAnsi="Tahoma" w:cs="Tahoma"/>
          <w:color w:val="424242"/>
          <w:sz w:val="21"/>
          <w:szCs w:val="21"/>
        </w:rPr>
        <w:t xml:space="preserve"> лены квалификационные требования: иметь опыт строитель </w:t>
      </w:r>
      <w:proofErr w:type="spellStart"/>
      <w:r>
        <w:rPr>
          <w:rFonts w:ascii="Tahoma" w:hAnsi="Tahoma" w:cs="Tahoma"/>
          <w:color w:val="424242"/>
          <w:sz w:val="21"/>
          <w:szCs w:val="21"/>
        </w:rPr>
        <w:t>ства</w:t>
      </w:r>
      <w:proofErr w:type="spellEnd"/>
      <w:r>
        <w:rPr>
          <w:rFonts w:ascii="Tahoma" w:hAnsi="Tahoma" w:cs="Tahoma"/>
          <w:color w:val="424242"/>
          <w:sz w:val="21"/>
          <w:szCs w:val="21"/>
        </w:rPr>
        <w:t xml:space="preserve"> аэропортов и привлечения инвестиций в объеме не менее 1 млрд долл.; в течение последних трех лет управлять аэропортом с пропускной способностью не менее 10 млн пассажиров в год с инвестициями в его развитие не менее 500 млн долл. Кроме того, участник не должен управлять или владеть аэропортом на расстоянии менее 800 км от Санкт-Петербурга.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Принципиальным вопросом в соглашении явился вопрос о разделении ответственности и управлении рисками проекта. Частному инвестору дается право самому управлять всеми денежными потоками по проекту, осуществлять контроль над эксплуатацией объектов и получением прибыли. От федеральных органов власти зависят нормативное правовое регулирование авиационной деятельности (например, требования к обеспечению безопасности в аэропортах), тарифная политика, федеральное налогообложение.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принятом всеми сторонами соглашении о ГЧП по проекту должны учитываться все эти факторы. Так, если победитель конкурса, естественно, должен брать на себя риск нарушения сроков строительства и бюджетных ограничений, то риск трафика зависит от развития авиаперевозок в целом, от соответствующих международных договоров, обеспечивающих доступ иностранных авиаперевозчиков к сотрудничеству с аэропортом. В свою очередь объем трафика влияет на уровень получаемых доходов, зависит от возможных изменений Федеральной службой по тарифам тарифов и сборов, взимаемых оператором аэропорта, и от собираемости тарифов и иных платежей. В соглашении должны быть решены вопросы управления валютными рисками. На государстве определенно лежит ответственность за управление рисками изменения законодательства и недопущение появления конкурирующих видов деятельности, подрывающих конкретный </w:t>
      </w:r>
      <w:proofErr w:type="spellStart"/>
      <w:r>
        <w:rPr>
          <w:rFonts w:ascii="Tahoma" w:hAnsi="Tahoma" w:cs="Tahoma"/>
          <w:color w:val="424242"/>
          <w:sz w:val="21"/>
          <w:szCs w:val="21"/>
        </w:rPr>
        <w:t>аэропортный</w:t>
      </w:r>
      <w:proofErr w:type="spellEnd"/>
      <w:r>
        <w:rPr>
          <w:rFonts w:ascii="Tahoma" w:hAnsi="Tahoma" w:cs="Tahoma"/>
          <w:color w:val="424242"/>
          <w:sz w:val="21"/>
          <w:szCs w:val="21"/>
        </w:rPr>
        <w:t xml:space="preserve"> бизнес.</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соглашении о ГЧП следует урегулировать вопросы отношений собственности по поводу движимого и недвижимого имущества. Инфраструктура аэродрома (взлетно-посадочные полосы, рулежные дорожки и перроны, входящие в состав аэродромного комплекса), являющаяся собственностью Санкт-Петербурга, не может находиться в частной собственности. Выход из положения следующий: предоставить эти объекты в аренду частному инвестору для дальнейшей эксплуатации на период действия соглашения. Земельные участки под аэродромом и аэропортом «Пулково» тоже находятся в собственности Санкт-Петербурга, поэтому их следует передать частному инвестору во временное владение и пользование. Допустимое решение – аренда и субаренда. Недвижимое имущество ОАО «Аэропорт “Пулково”» также должно быть передано частному инвестору в аренду для его дальнейшей эксплуатации в соответствии с соглашением о ГЧП. Что касается вновь построенных и реконструированных объектов недвижимого имущества, они могут принадлежать ОАО «Аэропорт “Пулково”» и частному инвестору на праве общей долевой собственности в порядке и на условиях, определенных в соглашении о ГЧП. При этом на срок действия соглашения доля ОАО «Аэропорт “Пулково”» будет передана во владение и пользование частному инвестору. По окончании срока действия соглашения о ГЧП право общей долевой собственности частного инвестора подлежит прекращению в соответствии с условиями, предусмотренными соглашением и действующим российским законодательством.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Как показывает мировая практика, подобные проекты ГЧП, позволяющие частному инвестору уже с первого дня осуществлять коммерческую деятельность в стратегически важных сферах экономики, являются привлекательными для частного бизнеса, институтов развития, банков и международных финансовых организаций, так как гарантируют частным инвесторам приемлемую для них доходность и обеспечены гарантиями со стороны дееспособного государства [101]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Существенным стимулом для развития в стране крупных объектов воздушного транспорта, функционирующих на принципах ГЧП, явилось принятие Федерального закона от 22 июля 2005 г. № 116-ФЗ «Об особых экономических зонах в Российской Федерации». Победителями конкурса по отбору заявок на создание ПОЭЗ в сфере воздушного транспорта стали заявки правительства Ульяновской области (аэропорт «Ульяновск-Восточный») и правительства Красноярского края (аэропорт «Емельяново»).</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Проект «Развитие аэропорта “Ульяновск-Восточный”»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Цель проекта – создание в регионе авиационного кластера – системы организаций по разработке, производству, испытаниям летательных аппаратов, их эксплуатации, модернизации, ремонту и техническому обслуживанию, в том числе ведению аэропортовой деятельности, строительству новых терминалов и логистических мощностей. Бюджетные инвестиции в развитие необходимой инженерной и транспортной инфраструктуры предположительно составят около 30% общих инвестиций и обеспечат строительство объектов производственной инфраструктуры, подъездных железнодорожных и автомобильных путей, инженерных коммуникаций.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Оценка объемов частных инвестиций от резидентов ОЭЗ – около 24 млрд руб. За счет этих средств планируется создать сборочное производство сверхлегких реактивных самолетов «</w:t>
      </w:r>
      <w:proofErr w:type="spellStart"/>
      <w:r>
        <w:rPr>
          <w:rFonts w:ascii="Tahoma" w:hAnsi="Tahoma" w:cs="Tahoma"/>
          <w:i/>
          <w:iCs/>
          <w:color w:val="424242"/>
          <w:sz w:val="21"/>
          <w:szCs w:val="21"/>
        </w:rPr>
        <w:t>Eclipse</w:t>
      </w:r>
      <w:proofErr w:type="spellEnd"/>
      <w:r>
        <w:rPr>
          <w:rFonts w:ascii="Tahoma" w:hAnsi="Tahoma" w:cs="Tahoma"/>
          <w:i/>
          <w:iCs/>
          <w:color w:val="424242"/>
          <w:sz w:val="21"/>
          <w:szCs w:val="21"/>
        </w:rPr>
        <w:t xml:space="preserve"> 500», </w:t>
      </w:r>
      <w:proofErr w:type="spellStart"/>
      <w:r>
        <w:rPr>
          <w:rFonts w:ascii="Tahoma" w:hAnsi="Tahoma" w:cs="Tahoma"/>
          <w:i/>
          <w:iCs/>
          <w:color w:val="424242"/>
          <w:sz w:val="21"/>
          <w:szCs w:val="21"/>
        </w:rPr>
        <w:t>терминально</w:t>
      </w:r>
      <w:proofErr w:type="spellEnd"/>
      <w:r>
        <w:rPr>
          <w:rFonts w:ascii="Tahoma" w:hAnsi="Tahoma" w:cs="Tahoma"/>
          <w:i/>
          <w:iCs/>
          <w:color w:val="424242"/>
          <w:sz w:val="21"/>
          <w:szCs w:val="21"/>
        </w:rPr>
        <w:t xml:space="preserve">-складскую инфраструктуру, цех по ремонту и обслуживанию самолетов. Согласно заявке к 2020 г. объем услуг по обслуживанию и ремонту воздушных судов составит около 1400 тыс. нормо-часов, а объем перевалки грузов через </w:t>
      </w:r>
      <w:proofErr w:type="spellStart"/>
      <w:r>
        <w:rPr>
          <w:rFonts w:ascii="Tahoma" w:hAnsi="Tahoma" w:cs="Tahoma"/>
          <w:i/>
          <w:iCs/>
          <w:color w:val="424242"/>
          <w:sz w:val="21"/>
          <w:szCs w:val="21"/>
        </w:rPr>
        <w:t>аэро</w:t>
      </w:r>
      <w:proofErr w:type="spellEnd"/>
      <w:r>
        <w:rPr>
          <w:rFonts w:ascii="Tahoma" w:hAnsi="Tahoma" w:cs="Tahoma"/>
          <w:i/>
          <w:iCs/>
          <w:color w:val="424242"/>
          <w:sz w:val="21"/>
          <w:szCs w:val="21"/>
        </w:rPr>
        <w:t xml:space="preserve"> порт «Ульяновск-Восточный» – около 170 тыс. т. Производство самолетов </w:t>
      </w:r>
      <w:proofErr w:type="spellStart"/>
      <w:r>
        <w:rPr>
          <w:rFonts w:ascii="Tahoma" w:hAnsi="Tahoma" w:cs="Tahoma"/>
          <w:i/>
          <w:iCs/>
          <w:color w:val="424242"/>
          <w:sz w:val="21"/>
          <w:szCs w:val="21"/>
        </w:rPr>
        <w:t>Eclipse</w:t>
      </w:r>
      <w:proofErr w:type="spellEnd"/>
      <w:r>
        <w:rPr>
          <w:rFonts w:ascii="Tahoma" w:hAnsi="Tahoma" w:cs="Tahoma"/>
          <w:i/>
          <w:iCs/>
          <w:color w:val="424242"/>
          <w:sz w:val="21"/>
          <w:szCs w:val="21"/>
        </w:rPr>
        <w:t xml:space="preserve"> 500 должно выйти на проектную мощность к 2012 г. (800 сверхлегких реактивных самолетов в год). Кроме того, в результате за счет роста рабочих мест компаний-резидентов, развития инфраструктуры и смежных производств возрастет занятость населения области, увеличится средняя заработная плата, улучшится социальная инфраструктура.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отличие от Ульяновска аэропорт «Емельяново» в Красноярском крае уже располагает развитой инфраструктурой, способен принимать воздушные суда всех типов и перерабатывать в год до 85 тыс. т грузов. Создание ПОЭЗ на базе аэропорта «Емельяново», расположенного на пересечении транспортных коридоров «Европа – Юго-Восточная Азия» и кросс-полярных коридоров «Евразия – Северная и Южная Америки», позволит России стать крупным участником перераспределения международных грузопотоков на этих маршрутах, довести к 2019 г. ежегодный грузооборот до не менее чем 700 тыс. т. 36 компаний уже выразили намерение стать резидентами ПОЭЗ в Красноярском крае. Ожидается, что суммарная величина инвестиций в создание портовой зоны «Аэропорт “Емельяново”» составит около 25 млрд руб.: около 13% будут выделены из федерального бюджета, более 15% – из краевого и более 70% – резидентами ПОЭЗ.</w:t>
      </w:r>
    </w:p>
    <w:p w:rsidR="00B942D2" w:rsidRDefault="00B942D2" w:rsidP="00B942D2">
      <w:pPr>
        <w:ind w:firstLine="708"/>
        <w:jc w:val="both"/>
        <w:rPr>
          <w:rFonts w:ascii="Times New Roman" w:hAnsi="Times New Roman" w:cs="Times New Roman"/>
          <w:sz w:val="28"/>
          <w:szCs w:val="28"/>
        </w:rPr>
      </w:pPr>
    </w:p>
    <w:p w:rsidR="00B942D2" w:rsidRDefault="00B942D2" w:rsidP="00B942D2">
      <w:pPr>
        <w:ind w:firstLine="708"/>
        <w:jc w:val="both"/>
      </w:pPr>
      <w:r>
        <w:t xml:space="preserve">Проекты государственно-частного партнерства Концессионные проекты дорожная и социальная инфраструктура Основные формы проектов ГЧП в Москве Долгосрочные контракты с инвестиционной составляющей офсетные контракты, вывоз и переработка мусора, проекты на транспорте Аренда недвижимости с инвестиционными обязательствами льготная аренда для малого и среднего бизнеса, создание учреждений медицины и искусства Корпоративная форма ГЧП строительство транспортно-пересадочных узлов (ТПУ) Контракты жизненного цикла на поставку и обслуживание подвижного состава метрополитена и наземного городского транспорта 2019 | Городское агентство управления инвестициями | 3 Развитие ГЧП – приоритет </w:t>
      </w:r>
      <w:proofErr w:type="spellStart"/>
      <w:r>
        <w:t>инвестполитики</w:t>
      </w:r>
      <w:proofErr w:type="spellEnd"/>
      <w:r>
        <w:t xml:space="preserve"> объем контрактов по проектам ГЧП в 2013 г. – август 2019 г. &gt;₽875 2015 г. 13 место 2013 г. 3 место 1 место 2016-2019 г. млрд руб. Особенности подхода Москвы ▪ государственно-частное партнерство не ограничивается соглашениями о ГЧП и концессиями ▪ использование различных (в </w:t>
      </w:r>
      <w:proofErr w:type="spellStart"/>
      <w:r>
        <w:t>т.ч</w:t>
      </w:r>
      <w:proofErr w:type="spellEnd"/>
      <w:r>
        <w:t xml:space="preserve">. новых) форм и механизмов при реализации проектов ▪ достижение комплексного результата и синергии от привлечения частного партнера 65 млрд руб. Концессионные проекты 434,8 млрд руб. Контракты жизненного цикла (КЖЦ) 232,4 млрд руб. Долгосрочные контракты с </w:t>
      </w:r>
      <w:proofErr w:type="spellStart"/>
      <w:r>
        <w:t>инвестсоставляющей</w:t>
      </w:r>
      <w:proofErr w:type="spellEnd"/>
      <w:r>
        <w:t xml:space="preserve"> 127 млрд руб. Корпоративная форма ГЧП 16,8 млрд руб. Аренда недвижимости с </w:t>
      </w:r>
      <w:proofErr w:type="spellStart"/>
      <w:r>
        <w:t>инвестобязательствами</w:t>
      </w:r>
      <w:proofErr w:type="spellEnd"/>
      <w:r>
        <w:t xml:space="preserve"> 2019 | Городское агентство управления инвестициями | 4 Концессии Проекты создания и развития городской инфраструктуры с последующей эксплуатацией (транспорт, здравоохранение) ₽65 объем инвестиций млрд 10,3км протяженность 40 лет срок концессии ~₽40 финансирование Крупнейший проект: Северный дублер Кутузовского проспекта (СДКП) ▪ Окупаемость за счет сбора платы за проезд (максимальный размер устанавливает город) ▪ Инвестор полностью финансирует строительство дороги, подготовка территории (перекладка коммуникаций) на 50% </w:t>
      </w:r>
      <w:proofErr w:type="spellStart"/>
      <w:r>
        <w:t>софинансируется</w:t>
      </w:r>
      <w:proofErr w:type="spellEnd"/>
      <w:r>
        <w:t xml:space="preserve"> городом ▪ Город не гарантирует доходность проекта ▪ Город финансирует изъятие и снос на территории строительства млрд 2019 | Городское агентство управления инвестициями | 5 Строительство транспортно-пересадочных узлов (ТПУ) 1,68 разрешенный объем строительства капитальных объектов на строящихся линиях и существующих станциях метро и городского железнодорожного транспорта ≈9 млн кв. м градостроительный потенциал ТПУ ≈₽ 700 млрд предполагаемый объем частных инвестиций по ТПУ 17 ТПУ уже переданы инвесторам ₽127 млрд планируемый объем капитальных затрат частных инвесторов млн кв. м 2019 | Городское агентство управления инвестициями | 6 Контракты жизненного цикла общественного транспорта Эффективный инструмент оптимизации расходов бюджета – контракты жизненного цикла (КЖЦ), предусматривающие поставку продукции с последующим обслуживанием Метрополитен Наземный транспорт Объем поставки 1576 вагона метро 436 автобусов 300 трамваев 300 электробусов (3 контракта) Срок контракта 30 лет 7 лет 30 лет 15 лет Сумма контракта 352 млрд руб. 7,3 млрд руб. 56,2 млрд руб. 19,3 млрд руб. 434,8 млрд руб. объем заключенных КЖЦ 2019 | Городское агентство управления инвестициями | 7 Льготная аренда с инвестиционными обязательствами Содержание проекта Ремонт/реставрация городских помещений за счет инвестора с последующей эксплуатацией их в качестве объектов социального и культурного назначения (льготная аренда на 20 и 49 лет). Принцип ГЧП ▪ До начала эксплуатации (ремонт/реставрация) – рыночная ставка аренды (торги) ▪ Запуск в эксплуатацию (завершение инвестиционной фазы) – 1 рубль за м2/год &gt;₽5 млрд частных инвестиций 107 проектов в процессе реализации 59 объектов уже открыты/отреставрированы 2019 | Городское агентство управления инвестициями | 8 Офсетные контракты – поддержка инвесторов через госзаказ Стимулирование локализации современных производств Уже заключено: 2контракта поставка лекарств (22МНН+31 МНН) ₽8,8 млрд объем частных инвестиций Перспективные направления: ▪ Снижение цены поставки ▪ </w:t>
      </w:r>
      <w:proofErr w:type="spellStart"/>
      <w:r>
        <w:t>Импортозамещение</w:t>
      </w:r>
      <w:proofErr w:type="spellEnd"/>
      <w:r>
        <w:t xml:space="preserve">, гарантированные поставки ▪ Рабочие места и рост налогооблагаемой базы ▪ Платежеспособный потребитель ▪ Долгосрочная гарантия сбыта ▪ Включение в реестр единственных поставщиков + для города: + для инвестора: 10 лет до &gt;₽1 млрд срок контракта объем инвестиций в создание, модернизацию и/или освоение производства Ключевые условия контракта Закупается товар российского происхождения 2019 | Городское агентство управления инвестициями | 9 Первый офсетный контракт Москвы 22 МНН 10 лет количество закупаемых лекарств (международные непатентованные названия) срок контракта ₽14 млрд Предмет контракта: Лекарственные препараты (онкология/иммуномодуляторы) СОЗДАНИЕ ПРОИЗВОДСТВА 3 ГОДА ПОСТАВКА ПРОДУКЦИИ 7 ЛЕТ Снижение ~50% ₽3 млрд ОЭЗ </w:t>
      </w:r>
      <w:proofErr w:type="spellStart"/>
      <w:r>
        <w:t>Технополис</w:t>
      </w:r>
      <w:proofErr w:type="spellEnd"/>
      <w:r>
        <w:t xml:space="preserve"> Москва размещение производства ▪ Получен статус резидента ▪ Арендована площадка ▪ Завершено проектирование</w:t>
      </w:r>
    </w:p>
    <w:p w:rsidR="00B942D2" w:rsidRDefault="00B942D2" w:rsidP="00B942D2">
      <w:pPr>
        <w:ind w:firstLine="708"/>
        <w:jc w:val="both"/>
      </w:pPr>
    </w:p>
    <w:p w:rsidR="00B942D2" w:rsidRDefault="00B942D2" w:rsidP="00B942D2">
      <w:pPr>
        <w:spacing w:line="360" w:lineRule="auto"/>
        <w:ind w:firstLine="708"/>
        <w:jc w:val="both"/>
        <w:rPr>
          <w:rFonts w:ascii="Times New Roman" w:hAnsi="Times New Roman" w:cs="Times New Roman"/>
          <w:color w:val="333333"/>
          <w:sz w:val="28"/>
          <w:szCs w:val="28"/>
          <w:shd w:val="clear" w:color="auto" w:fill="F6F6F6"/>
        </w:rPr>
      </w:pPr>
      <w:r w:rsidRPr="003455DD">
        <w:rPr>
          <w:rFonts w:ascii="Times New Roman" w:hAnsi="Times New Roman" w:cs="Times New Roman"/>
          <w:color w:val="333333"/>
          <w:sz w:val="28"/>
          <w:szCs w:val="28"/>
          <w:highlight w:val="yellow"/>
          <w:shd w:val="clear" w:color="auto" w:fill="F6F6F6"/>
        </w:rPr>
        <w:t xml:space="preserve">Государственно-частное партнерство не является новейшим экономическим механизмом. История свидетельствует, что в XVIII и в начале XIX века группой британских вельмож были созданы дорожно-строительные трасты, занимавшие деньги у частных инвесторов для ремонта дорог. Заем они возвращали посредством взимания платы за проезд [1]. Большая часть мостов в Лондоне финансировалась за счет подобных мостовых трастов до середины XIX века. Известнейший всему мире Бруклинский мост в городе Нью-Йорке был построен с использованием такой же схемы с участием частного капитала. Исследуя вопрос развития государственно-частного партнерства во Франции, отметим, что там строительство каналов с участием частного капитала началось еще раньше, а именно, в XVII веке [1]. Данный тип Государственно-частного партнерства известен в научной и практической деятельности как «концессия» — модель, суть которой можно кратко выразить двумя словами — «платит пользователь». Для этой модели государственно-частного партнерства характерно следующее: частный участник «концессионер» имеет возможность взимать плату за использование объекта (пользование мостами, тоннелями или дорогами), что компенсирует концессионеру затраты на строительство и обслуживание объекта, и данная оплата, как правило, возвращается под контроль публичного сектора в конце периода концессии. Концессии начали широко применяться во многих странах уже в XIX и начале XX века. При этом данная модель государственно-частного партнерства использовалась не только для строительства дорог и смежных отраслей, но и для строительства железных дорог, объектов водоснабжения и канализации очистных сооружений. Дальнейшее развитие концессии получили с появлением франшизы (фр. </w:t>
      </w:r>
      <w:proofErr w:type="spellStart"/>
      <w:r w:rsidRPr="003455DD">
        <w:rPr>
          <w:rFonts w:ascii="Times New Roman" w:hAnsi="Times New Roman" w:cs="Times New Roman"/>
          <w:color w:val="333333"/>
          <w:sz w:val="28"/>
          <w:szCs w:val="28"/>
          <w:highlight w:val="yellow"/>
          <w:shd w:val="clear" w:color="auto" w:fill="F6F6F6"/>
        </w:rPr>
        <w:t>Affermage</w:t>
      </w:r>
      <w:proofErr w:type="spellEnd"/>
      <w:r w:rsidRPr="003455DD">
        <w:rPr>
          <w:rFonts w:ascii="Times New Roman" w:hAnsi="Times New Roman" w:cs="Times New Roman"/>
          <w:color w:val="333333"/>
          <w:sz w:val="28"/>
          <w:szCs w:val="28"/>
          <w:highlight w:val="yellow"/>
          <w:shd w:val="clear" w:color="auto" w:fill="F6F6F6"/>
        </w:rPr>
        <w:t xml:space="preserve">). Термин «франшиза» представляет собой право эксплуатировать построенный объект, то есть по сути является тем же самым, что и «концессия», однако не включая в себя первоначальную стадию — строительство объекта. Франшиза не рассматривается как модель государственно-частного партнерства, поскольку не включает в себя финансирование строительства или развитие инфраструктуры, подразумевая только использование уже построенного объекта. Тем не менее она имеет частично тот же договорной и финансовый базис. В связи с увеличением роли государства после XIX века снизилось и использование концессий для строительства инфраструктурных объектов. Однако франшизы оставались важным явлением, особенно играя важную роль во французской водной отрасли. Вновь занять видное место концессии смогли лишь в конце двадцатого столетия, вместе с возросшим интересом к ним и иным механизмам государственно-частного партнерства, как альтернативам фондовой модели (модели финансирования из собственных средств государства). В современном понимании государственно-частного партнерства начало свое зарождение в Великобритании в начале 90-х годов двадцатого столетия. Это время характеризовалось сменой традиционного сотрудничества государства и подрядчика моделью «частной финансовой инициативы» (англ. </w:t>
      </w:r>
      <w:proofErr w:type="spellStart"/>
      <w:r w:rsidRPr="003455DD">
        <w:rPr>
          <w:rFonts w:ascii="Times New Roman" w:hAnsi="Times New Roman" w:cs="Times New Roman"/>
          <w:color w:val="333333"/>
          <w:sz w:val="28"/>
          <w:szCs w:val="28"/>
          <w:highlight w:val="yellow"/>
          <w:shd w:val="clear" w:color="auto" w:fill="F6F6F6"/>
        </w:rPr>
        <w:t>Private</w:t>
      </w:r>
      <w:proofErr w:type="spellEnd"/>
      <w:r w:rsidRPr="003455DD">
        <w:rPr>
          <w:rFonts w:ascii="Times New Roman" w:hAnsi="Times New Roman" w:cs="Times New Roman"/>
          <w:color w:val="333333"/>
          <w:sz w:val="28"/>
          <w:szCs w:val="28"/>
          <w:highlight w:val="yellow"/>
          <w:shd w:val="clear" w:color="auto" w:fill="F6F6F6"/>
        </w:rPr>
        <w:t xml:space="preserve"> </w:t>
      </w:r>
      <w:proofErr w:type="spellStart"/>
      <w:r w:rsidRPr="003455DD">
        <w:rPr>
          <w:rFonts w:ascii="Times New Roman" w:hAnsi="Times New Roman" w:cs="Times New Roman"/>
          <w:color w:val="333333"/>
          <w:sz w:val="28"/>
          <w:szCs w:val="28"/>
          <w:highlight w:val="yellow"/>
          <w:shd w:val="clear" w:color="auto" w:fill="F6F6F6"/>
        </w:rPr>
        <w:t>Finance</w:t>
      </w:r>
      <w:proofErr w:type="spellEnd"/>
      <w:r w:rsidRPr="003455DD">
        <w:rPr>
          <w:rFonts w:ascii="Times New Roman" w:hAnsi="Times New Roman" w:cs="Times New Roman"/>
          <w:color w:val="333333"/>
          <w:sz w:val="28"/>
          <w:szCs w:val="28"/>
          <w:highlight w:val="yellow"/>
          <w:shd w:val="clear" w:color="auto" w:fill="F6F6F6"/>
        </w:rPr>
        <w:t xml:space="preserve"> </w:t>
      </w:r>
      <w:proofErr w:type="spellStart"/>
      <w:r w:rsidRPr="003455DD">
        <w:rPr>
          <w:rFonts w:ascii="Times New Roman" w:hAnsi="Times New Roman" w:cs="Times New Roman"/>
          <w:color w:val="333333"/>
          <w:sz w:val="28"/>
          <w:szCs w:val="28"/>
          <w:highlight w:val="yellow"/>
          <w:shd w:val="clear" w:color="auto" w:fill="F6F6F6"/>
        </w:rPr>
        <w:t>Initiative</w:t>
      </w:r>
      <w:proofErr w:type="spellEnd"/>
      <w:r w:rsidRPr="003455DD">
        <w:rPr>
          <w:rFonts w:ascii="Times New Roman" w:hAnsi="Times New Roman" w:cs="Times New Roman"/>
          <w:color w:val="333333"/>
          <w:sz w:val="28"/>
          <w:szCs w:val="28"/>
          <w:highlight w:val="yellow"/>
          <w:shd w:val="clear" w:color="auto" w:fill="F6F6F6"/>
        </w:rPr>
        <w:t>). Данная модель взаимодействия государства и частного бизнеса характеризовалась следующим: государство является заказчиком, при этом не оплачивая бизнесу те или иные капиталоемкие объекты. После окончания проведенной работы государство брало объект в долгосрочную аренду с определенным условием — подрядчик продолжал обеспечивать эксплуатацию этого объекта. Инвестиции таким образом возвращались подрядчику за счет арендных платежей. Как правило, после окончания оговоренного срока аренды объект передавался заказчику по символической стоимости или бесплатно. Практика применения механизма государственно-частного партнерства существенно расширялась по мере его применения. Государство, не имея финансовых возможностей обеспечить расширенное воспроизводство в указанных отраслях, могло передать их в долгосрочную аренду частному бизнесу, при этом имея право осуществлять контроль за их деятельностью. Подобные правоотношения постепенно начали распространяться и на отдельные, наиболее значимые и масштабные проекты — от оказания общественных услуг, до проведения важных научно — исследовательских и опытно-конструкторских работ и внедрения инноваций. Первопроходцами, заложившими основы в развитие государственно-частного партнерства наравне с Великобританией, являются и Соединенные штаты Америки. «В Америке формы Государственно-частного партнерства возникали и развивались в следующих основных направлениях: ‒ кооперационные исследования отдельных отраслевых и межотраслевых производств; ‒ привлечение научного потенциала страны для решения национальных проблем и передача технологий, созданных на федеральные средства для развития производств в отдельных штатах» [1]. Приведем примеры подобных форм [6]. Кооперационные программы научно-исследовательских и опытно-конструкторских работ (НИОКР) в рамках инновационного цикла — участниками партнерств выступают фирмы, представляющие весь спектр разработки и освоение новых технологий. В лице федеральных ведомств государство содействует созданию партнерств, принимая непосредственное участие в их деятельности. Стратегические межотраслевые партнерства — учреждаются для разработки и коммерциализации базовых технологий массового применения. Региональные центры передачи технологий НАСА. Одна из основных задач данных центров состоит в координации технологических инициатив страны и научно-технических организаций с НАСА. На базе университетов создаются региональные центры, деятельность которых финансируется правительством, штатами и фирмами на равных условиях. Изначально механизм государственно-частного партнерства в Америке был разработан с целью концентрации средств, направляемых на создание и внедрение инноваций для совместного использования полученных результатов. Все это позволило Соединенным Штатам достаточно развить технологическую мысль с учетом реальных потребностей новых рынков и добиться значительных успехов в данной отрасли. Опыт развитых мировых держав свидетельствует о том, что партнерские отношения государства и бизнеса всегда находились в поле зрения властей. Вопросы совершенствования управления государственной собственностью и возможности привлечения капиталов частных субъектов к реализации публичных интересов и государственных инициатив, требовали регулярной концептуальной проработки. «Партнерство не развивалось стихийно, а было вписано в общие процессы финансовой децентрализации публичной власти, передачи ряда государственных полномочий с центрального уровня на местный, частичной приватизации некоторых функций государства» [4]. В настоящее время проекты Государственно-частного партнерства разрабатываются более чем в 60 странах мира. Как правило, в зарубежных странах государственно-частным партнерством обычно называют довольно большой ассортимент бизнес — образцов и отношений. Данное понятие применяется при любых вариантах использования ресурсов частного капитала для удовлетворения общественно значимых потребностей. Первые места в области применения всевозможных механизмов государственно-частного партнерства исследователи с уверенностью отдают таким державам, как Соединенные Штаты Америки, Великобритания, Франция и Германия. Говоря о Великобритании, где Государственно-частное партнерство получило широкое распространение, следует сказать, что эта форма хозяйствования трактуется там как «ключевой элемент стратегии правительства по обеспечению современного, высококачественного коммунального обслуживания и повышению конкурентоспособности страны» [5]. Исследуя проекты государственно-частного партнерства некоторых зарубежных стран, заключенных в государствах с разным экономическим развитием, можно сделать вывод, что государственно-частные партнерства успешно применяются в транспортной (автодороги, железные дороги, аэропорты, порты, трубопроводный транспорт) и социальной инфраструктуре (здравоохранение, образование, развлечение туризм), ЖКХ (водоснабжение, электроснабжение, очистка воды, газоснабжение и иные) и других сферах (тюрьмы, оборона, объекты военной техники и так далее). Лидирующей является транспортная инфраструктура, второе место занимает социальная инфраструктура. В конце 20 века в мире наблюдался пик увеличения применения механизма Государственно-частного партнерства. Данные Всемирного банка свидетельствуют о том, что в 1990 году в развивающихся странах и странах с переходной экономикой появилось около 2700 проектов государственно-частного партнерства. В конце 90-х годов 20 столетия данная форма получила новый толчок к развитию, что произошло благодаря выработанной стандартизации подходов к выбору проектов и определению основных приоритетов социальных потребностей. Тем не менее в мировой практике до сих пор типового соглашения государственно — частного партнерства не существует. Определено, что в нем должны быть закреплены позиции сторон — уровень обязательств государства и частных субъектов, право собственности на активы, распределение рисков, продолжительность по времени, источники финансирования и другие. В странах западной Европы за последние годы значительно возрастает развитие ГЧП-проектов. Государственно-частное партнерство наиболее востребовано общественным сектором, поскольку всегда есть потребность в модернизации уже изношенной инфраструктуры, обеспечении доступности услуг, экономии бюджета и так далее. Важное значение имеет определение наиболее приоритетных отраслей для применения Государственно-частного партнерства для каждой страны и региона. Привлечение инвестиций сразу во все отрасли экономики в полном объеме практически невозможно, к тому же существуют те отрасли, которые необходимо инвестировать в первую очередь. Так, например, в Великобритании, Германии, Италии, Канаде, Франции, Японии проекты транспортной инфраструктуры занимают далеко не первое место. На 1-м месте — здравоохранение, на 2-м — образование, на 3-м — автодороги. Исходя из зарубежного опыта использования ГЧП-проектов следует, что каждая страна имеет свою более приоритетную отрасль по использованию данного механизма. Во многом использование Государственно-частного партнерства в определенных отраслях обусловлено уровнем социально-экономического развитию государства. Так, по сравнению с общей картиной в странах «Большой семерки» (США, Великобритания, Германия, Италия, Канада, Франция, Япония) проекты транспортной инфраструктуры стоят не на 1-м месте. В странах «Большой семерки» на 1-м месте — здравоохранение (184 из 615 проектов), на 2-м месте — образование (138 проектов), на 3-м — автодороги (92 проекта). Таким образом, в странах с развитой рыночной экономикой, с высоким уровнем жизни населения, высокой производительностью труда, надежной социальной политикой, ГЧП — проекты в основном направлены в области образования, здравоохранения, социальной защиты населения и так далее. Как правило, подобное «распределение сил» продиктовано мудрой политикой государства, которое уже позаботилось об остальных сферах возможного применения Государственно-частного партнерства самостоятельно. В своей работе Е. Ю. Бондаренко указывает, что «концепция и механизмы государственно-частного партнерства в мировой практике применяются в основном для долговременного финансирования и управления объектами общественной инфраструктуры, в частности транспортом, жилищно-коммунальным хозяйством, здравоохранением, благоустройством и прочими» [3]. Формы государственно-частного партнерства напрямую зависят от того, насколько государство открыто для прямых инвестиции, а также от желания государства передавать инвесторам или национальным компаниям такие значительные активы, как земля и инфраструктура. Доказано, что в развивающихся странах и странах с переходной экономикой перечисленные отрасли (кроме автодорог) не являются приоритетными. В связи с более низким уровнем экономического развития, в таких странах самым приоритетным привлечения инвестиций с помощью государственно-частного партнерства будет являться транспортная инфраструктура (строительство и реконструкция автомобильных дорог, железных дорог и так далее). Так, в странах с переходной экономикой — страны Центральной и Восточной Европы (Болгария, Чехия, Венгрия, Хорватия, Польша, Румыния), страны Балтии (Латвия), страны СНГ (Украина) — отрасли здравоохранение и образование находятся уже далеко не на 1-м месте по применению государственно-частного партнерства. Лидерами являются автодороги, строительство мостов и тоннелей, легкого наземного метро, аэропортов. В странах с переходной экономикой им уделяется первоочередное внимание [1]. В развивающихся странах, к которым можно отнести Индию, Бразилию, Мексику, на первом месте применения механизма государственно-частного партнерства находятся автодороги, второе место занимают аэропорты, тюрьмы и водоочистные сооружения. Подобное распределение демонстрирует заинтересованность стран в развитии определенных отраслей и направлений (индивидуальных для каждого типа стран), поскольку механизм государственно-частного партнерства позволяет привлечь инвестиции бизнеса, снизив затраты государственного сектора и распределив риски между указанными субъектами [2]. В заключение скажем, что столь богатый опыт зарубежных государств, который к тому же подкреплен достаточным многообразием форм ГЧП, может являться эффективной поддержкой и платформой для внедрения механизмов взаимодействия государственной власти и субъектов частного бизнеса в России. Ориентация на Западные страны в совокупности с богатым потенциалом Российской Федерации, удачным образом способны развить одно из самых перспективных направлений на сегодняшний день — сферу государственно-частного партнерства, что принесет реальную пользу многонациональному населению нашего государства.</w:t>
      </w:r>
      <w:r w:rsidRPr="003455DD">
        <w:rPr>
          <w:rFonts w:ascii="Times New Roman" w:hAnsi="Times New Roman" w:cs="Times New Roman"/>
          <w:color w:val="333333"/>
          <w:sz w:val="28"/>
          <w:szCs w:val="28"/>
          <w:highlight w:val="yellow"/>
        </w:rPr>
        <w:br/>
      </w:r>
      <w:r w:rsidRPr="003455DD">
        <w:rPr>
          <w:rFonts w:ascii="Times New Roman" w:hAnsi="Times New Roman" w:cs="Times New Roman"/>
          <w:color w:val="333333"/>
          <w:sz w:val="28"/>
          <w:szCs w:val="28"/>
          <w:highlight w:val="yellow"/>
        </w:rPr>
        <w:br/>
      </w:r>
      <w:r w:rsidRPr="003455DD">
        <w:rPr>
          <w:rFonts w:ascii="Times New Roman" w:hAnsi="Times New Roman" w:cs="Times New Roman"/>
          <w:color w:val="333333"/>
          <w:sz w:val="28"/>
          <w:szCs w:val="28"/>
          <w:highlight w:val="yellow"/>
          <w:shd w:val="clear" w:color="auto" w:fill="F6F6F6"/>
        </w:rPr>
        <w:t>Пожалуйста, не забудьте правильно оформить цитату:</w:t>
      </w:r>
      <w:r w:rsidRPr="003455DD">
        <w:rPr>
          <w:rFonts w:ascii="Times New Roman" w:hAnsi="Times New Roman" w:cs="Times New Roman"/>
          <w:color w:val="333333"/>
          <w:sz w:val="28"/>
          <w:szCs w:val="28"/>
          <w:highlight w:val="yellow"/>
        </w:rPr>
        <w:br/>
      </w:r>
      <w:proofErr w:type="spellStart"/>
      <w:r w:rsidRPr="003455DD">
        <w:rPr>
          <w:rFonts w:ascii="Times New Roman" w:hAnsi="Times New Roman" w:cs="Times New Roman"/>
          <w:color w:val="333333"/>
          <w:sz w:val="28"/>
          <w:szCs w:val="28"/>
          <w:highlight w:val="yellow"/>
          <w:shd w:val="clear" w:color="auto" w:fill="F6F6F6"/>
        </w:rPr>
        <w:t>Семенчишин</w:t>
      </w:r>
      <w:proofErr w:type="spellEnd"/>
      <w:r w:rsidRPr="003455DD">
        <w:rPr>
          <w:rFonts w:ascii="Times New Roman" w:hAnsi="Times New Roman" w:cs="Times New Roman"/>
          <w:color w:val="333333"/>
          <w:sz w:val="28"/>
          <w:szCs w:val="28"/>
          <w:highlight w:val="yellow"/>
          <w:shd w:val="clear" w:color="auto" w:fill="F6F6F6"/>
        </w:rPr>
        <w:t xml:space="preserve"> А. Н. Становление и развитие института государственно-частного партнерства в зарубежных странах // Молодой ученый. — 2017. — №52. — С. 167-171. — URL https://moluch.ru/archive/186/47497/ (дата обращения: 23.01.2020).</w:t>
      </w:r>
    </w:p>
    <w:p w:rsidR="00B942D2" w:rsidRDefault="00B942D2" w:rsidP="00B942D2">
      <w:pPr>
        <w:spacing w:line="360" w:lineRule="auto"/>
        <w:ind w:firstLine="708"/>
        <w:jc w:val="both"/>
        <w:rPr>
          <w:rFonts w:ascii="Times New Roman" w:hAnsi="Times New Roman" w:cs="Times New Roman"/>
          <w:color w:val="333333"/>
          <w:sz w:val="28"/>
          <w:szCs w:val="28"/>
          <w:shd w:val="clear" w:color="auto" w:fill="F6F6F6"/>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r>
        <w:rPr>
          <w:rFonts w:ascii="Arial" w:hAnsi="Arial" w:cs="Arial"/>
          <w:color w:val="000000"/>
          <w:sz w:val="23"/>
          <w:szCs w:val="23"/>
        </w:rPr>
        <w:t>Предметом работы является изучение зарубежного опыта стратегий, необходимых для осуществления успешных операций в сфере </w:t>
      </w:r>
      <w:r>
        <w:rPr>
          <w:rStyle w:val="hl"/>
          <w:rFonts w:ascii="BOLD" w:hAnsi="BOLD"/>
          <w:color w:val="000000"/>
          <w:sz w:val="23"/>
          <w:szCs w:val="23"/>
          <w:bdr w:val="none" w:sz="0" w:space="0" w:color="auto" w:frame="1"/>
          <w:shd w:val="clear" w:color="auto" w:fill="EEEEEE"/>
        </w:rPr>
        <w:t>государственно-частного партнёрства</w:t>
      </w:r>
      <w:r>
        <w:rPr>
          <w:rFonts w:ascii="Arial" w:hAnsi="Arial" w:cs="Arial"/>
          <w:color w:val="000000"/>
          <w:sz w:val="23"/>
          <w:szCs w:val="23"/>
        </w:rPr>
        <w:t xml:space="preserve"> в сложных рыночных условиях. Цель работы определение пути </w:t>
      </w:r>
      <w:r w:rsidRPr="0025522F">
        <w:rPr>
          <w:rFonts w:ascii="Times New Roman" w:hAnsi="Times New Roman" w:cs="Times New Roman"/>
          <w:color w:val="000000"/>
          <w:sz w:val="28"/>
          <w:szCs w:val="28"/>
        </w:rPr>
        <w:t>преобразования модели развития российской экономики и всего народного хозяйства, координации инновационной стратегии и политики государства и компаний, направленных к соблюдению требований инновационного устойчивого развития инфраструктуры на принципах государственно-частного партнерства и социальной ответственности бизнеса в широком смысле этого понятия. Методология проведения работы основывается на общенаучных принципах конкретности и объективности. Использованы такие общенаучные методы как анализ, систематизация, сравнительный анализ, описательный и логический методы. Результаты работы и область их применения. Изучен зарубежный опыт эффективного взаимодействия государства и частного бизнеса в реалиях современной рыночной экономики, исследованы принципы и формы их взаимодействия, осуществлен анализ мировой практики </w:t>
      </w:r>
      <w:r w:rsidRPr="0025522F">
        <w:rPr>
          <w:rStyle w:val="hl"/>
          <w:rFonts w:ascii="Times New Roman" w:hAnsi="Times New Roman" w:cs="Times New Roman"/>
          <w:color w:val="000000"/>
          <w:sz w:val="28"/>
          <w:szCs w:val="28"/>
          <w:bdr w:val="none" w:sz="0" w:space="0" w:color="auto" w:frame="1"/>
          <w:shd w:val="clear" w:color="auto" w:fill="EEEEEE"/>
        </w:rPr>
        <w:t>государственно-частного партнёрства</w:t>
      </w:r>
      <w:r w:rsidRPr="0025522F">
        <w:rPr>
          <w:rFonts w:ascii="Times New Roman" w:hAnsi="Times New Roman" w:cs="Times New Roman"/>
          <w:color w:val="000000"/>
          <w:sz w:val="28"/>
          <w:szCs w:val="28"/>
        </w:rPr>
        <w:t xml:space="preserve">, выявлены проблемные аспекты этого взаимодействия. Исследования механизма </w:t>
      </w:r>
      <w:proofErr w:type="spellStart"/>
      <w:r w:rsidRPr="0025522F">
        <w:rPr>
          <w:rFonts w:ascii="Times New Roman" w:hAnsi="Times New Roman" w:cs="Times New Roman"/>
          <w:color w:val="000000"/>
          <w:sz w:val="28"/>
          <w:szCs w:val="28"/>
        </w:rPr>
        <w:t>государственночастного</w:t>
      </w:r>
      <w:proofErr w:type="spellEnd"/>
      <w:r w:rsidRPr="0025522F">
        <w:rPr>
          <w:rFonts w:ascii="Times New Roman" w:hAnsi="Times New Roman" w:cs="Times New Roman"/>
          <w:color w:val="000000"/>
          <w:sz w:val="28"/>
          <w:szCs w:val="28"/>
        </w:rPr>
        <w:t xml:space="preserve"> партнёрства позволяют повысить эффективность партнерства властей и бизнеса в деле формирования развитой инфраструктуры экономики, перейти к новой концепции отношений бизнеса и государства. Выводы. </w:t>
      </w:r>
      <w:r w:rsidRPr="0025522F">
        <w:rPr>
          <w:rStyle w:val="hl"/>
          <w:rFonts w:ascii="Times New Roman" w:hAnsi="Times New Roman" w:cs="Times New Roman"/>
          <w:color w:val="000000"/>
          <w:sz w:val="28"/>
          <w:szCs w:val="28"/>
          <w:bdr w:val="none" w:sz="0" w:space="0" w:color="auto" w:frame="1"/>
          <w:shd w:val="clear" w:color="auto" w:fill="EEEEEE"/>
        </w:rPr>
        <w:t xml:space="preserve">Государственно-частные </w:t>
      </w:r>
      <w:proofErr w:type="spellStart"/>
      <w:r w:rsidRPr="0025522F">
        <w:rPr>
          <w:rStyle w:val="hl"/>
          <w:rFonts w:ascii="Times New Roman" w:hAnsi="Times New Roman" w:cs="Times New Roman"/>
          <w:color w:val="000000"/>
          <w:sz w:val="28"/>
          <w:szCs w:val="28"/>
          <w:bdr w:val="none" w:sz="0" w:space="0" w:color="auto" w:frame="1"/>
          <w:shd w:val="clear" w:color="auto" w:fill="EEEEEE"/>
        </w:rPr>
        <w:t>партнёрства</w:t>
      </w:r>
      <w:r w:rsidRPr="0025522F">
        <w:rPr>
          <w:rFonts w:ascii="Times New Roman" w:hAnsi="Times New Roman" w:cs="Times New Roman"/>
          <w:color w:val="000000"/>
          <w:sz w:val="28"/>
          <w:szCs w:val="28"/>
        </w:rPr>
        <w:t>реализуют</w:t>
      </w:r>
      <w:proofErr w:type="spellEnd"/>
      <w:r w:rsidRPr="0025522F">
        <w:rPr>
          <w:rFonts w:ascii="Times New Roman" w:hAnsi="Times New Roman" w:cs="Times New Roman"/>
          <w:color w:val="000000"/>
          <w:sz w:val="28"/>
          <w:szCs w:val="28"/>
        </w:rPr>
        <w:t xml:space="preserve"> незадействованный потенциал частного сектора в целях расширения доступа, повышения качества и эффективности государственных услуг, «не обременяя» в дальнейшем государственные финансы, способствуют совершенствованию управления государственным имуществом и увеличению финансовой отдачи от государственных экономических и иных активов. Мировой рынок государственно-частного партнерства имеет большие перспективы и значительный потенциал. Самыми привлекательными и широко распространенными сферами приложения ГЧП являются инфраструктурные </w:t>
      </w:r>
      <w:r w:rsidRPr="0025522F">
        <w:rPr>
          <w:rStyle w:val="hl"/>
          <w:rFonts w:ascii="Times New Roman" w:hAnsi="Times New Roman" w:cs="Times New Roman"/>
          <w:color w:val="000000"/>
          <w:sz w:val="28"/>
          <w:szCs w:val="28"/>
          <w:bdr w:val="none" w:sz="0" w:space="0" w:color="auto" w:frame="1"/>
          <w:shd w:val="clear" w:color="auto" w:fill="EEEEEE"/>
        </w:rPr>
        <w:t>концессии</w:t>
      </w:r>
      <w:r w:rsidRPr="0025522F">
        <w:rPr>
          <w:rFonts w:ascii="Times New Roman" w:hAnsi="Times New Roman" w:cs="Times New Roman"/>
          <w:color w:val="000000"/>
          <w:sz w:val="28"/>
          <w:szCs w:val="28"/>
        </w:rPr>
        <w:t> и инвестиции в транспортное строительство и дороги. В этих сферах проще и легче заключать соглашения о </w:t>
      </w:r>
      <w:r w:rsidRPr="0025522F">
        <w:rPr>
          <w:rStyle w:val="hl"/>
          <w:rFonts w:ascii="Times New Roman" w:hAnsi="Times New Roman" w:cs="Times New Roman"/>
          <w:color w:val="000000"/>
          <w:sz w:val="28"/>
          <w:szCs w:val="28"/>
          <w:bdr w:val="none" w:sz="0" w:space="0" w:color="auto" w:frame="1"/>
          <w:shd w:val="clear" w:color="auto" w:fill="EEEEEE"/>
        </w:rPr>
        <w:t>концессии</w:t>
      </w:r>
      <w:r w:rsidRPr="0025522F">
        <w:rPr>
          <w:rFonts w:ascii="Times New Roman" w:hAnsi="Times New Roman" w:cs="Times New Roman"/>
          <w:color w:val="000000"/>
          <w:sz w:val="28"/>
          <w:szCs w:val="28"/>
        </w:rPr>
        <w:t xml:space="preserve">, и эти отрасли заинтересованы в притоке значительных частных инвестиций. Однако при внедрении </w:t>
      </w:r>
      <w:proofErr w:type="spellStart"/>
      <w:r w:rsidRPr="0025522F">
        <w:rPr>
          <w:rFonts w:ascii="Times New Roman" w:hAnsi="Times New Roman" w:cs="Times New Roman"/>
          <w:color w:val="000000"/>
          <w:sz w:val="28"/>
          <w:szCs w:val="28"/>
        </w:rPr>
        <w:t>мегапроектов</w:t>
      </w:r>
      <w:proofErr w:type="spellEnd"/>
      <w:r w:rsidRPr="0025522F">
        <w:rPr>
          <w:rFonts w:ascii="Times New Roman" w:hAnsi="Times New Roman" w:cs="Times New Roman"/>
          <w:color w:val="000000"/>
          <w:sz w:val="28"/>
          <w:szCs w:val="28"/>
        </w:rPr>
        <w:t xml:space="preserve"> есть также значительные риски, связанные с неправильной оценкой расходов и условиями ввода в действие проекта, конкуренции со стороны альтернативных объектов, неоднозначности финансовой стабильности проекта и возможных рисков для концессионеров.</w:t>
      </w: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Default="00B942D2" w:rsidP="00B942D2">
      <w:pPr>
        <w:spacing w:line="360" w:lineRule="auto"/>
        <w:ind w:firstLine="708"/>
        <w:jc w:val="both"/>
        <w:rPr>
          <w:rFonts w:ascii="Times New Roman" w:hAnsi="Times New Roman" w:cs="Times New Roman"/>
          <w:sz w:val="28"/>
          <w:szCs w:val="28"/>
          <w:lang w:val="en-US"/>
        </w:rPr>
      </w:pPr>
      <w:r w:rsidRPr="0025522F">
        <w:rPr>
          <w:rFonts w:ascii="Times New Roman" w:hAnsi="Times New Roman" w:cs="Times New Roman"/>
          <w:sz w:val="28"/>
          <w:szCs w:val="28"/>
        </w:rPr>
        <w:t>В данной статье рассмотрен зарубежный опыт финансирования ГЧП, опыт финансирования инфраструктурных проектов, на примере США, Австралии, Китая, Индии и России. Определены приоритетные способы финансирования ГЧП, которые могут быть заимствованы для России из зарубежной практики. Ключевые слова Государственно-частное партнерство, финансирование, инвесторы, инфраструктурные проекты, финансовый рынок. Актуальность темы обусловлена тем, что современный этап развития мировой экономики, характеризующийся усилением глобализации, а также с другими сложными кризисами, ростом безработицы, огромной разницей в уровне социально-экономического развития отдельных стран и регионов, требует нового уровня управления, развития институтов развития, новых политических, экономических, правовых и институциональных современных регуляторов. Экономика разных стран развивается по-разному, некоторые регионы используют рыночные механизмы в их чистом виде. Одна из перспектив развития отношений между государством и частным сектором – государственно-частное партнерство (далее – ГЧП). Цель исследования – определить особенности финансирования ГЧП в зарубежных странах. Объект исследования – система финансирования инфраструктурных проектов (ГЧП). Предмет исследования – взаимоотношения участников реализации инфраструктурных проектов, финансируемых совместно государством и частными инвесторами. В мировой практике существуют примеры успешного применения механизма эмиссии инфраструктурных облигаций для финансирования реальных проектов. В США инфраструктурные облигации выпускаются на уровне муниципалитетов и носят название специальных целевых облигаций. Эмитируются облигации как общего покрытия (</w:t>
      </w:r>
      <w:proofErr w:type="spellStart"/>
      <w:r w:rsidRPr="0025522F">
        <w:rPr>
          <w:rFonts w:ascii="Times New Roman" w:hAnsi="Times New Roman" w:cs="Times New Roman"/>
          <w:sz w:val="28"/>
          <w:szCs w:val="28"/>
        </w:rPr>
        <w:t>general</w:t>
      </w:r>
      <w:proofErr w:type="spellEnd"/>
      <w:r w:rsidRPr="0025522F">
        <w:rPr>
          <w:rFonts w:ascii="Times New Roman" w:hAnsi="Times New Roman" w:cs="Times New Roman"/>
          <w:sz w:val="28"/>
          <w:szCs w:val="28"/>
        </w:rPr>
        <w:t xml:space="preserve"> </w:t>
      </w:r>
      <w:proofErr w:type="spellStart"/>
      <w:r w:rsidRPr="0025522F">
        <w:rPr>
          <w:rFonts w:ascii="Times New Roman" w:hAnsi="Times New Roman" w:cs="Times New Roman"/>
          <w:sz w:val="28"/>
          <w:szCs w:val="28"/>
        </w:rPr>
        <w:t>bonds</w:t>
      </w:r>
      <w:proofErr w:type="spellEnd"/>
      <w:r w:rsidRPr="0025522F">
        <w:rPr>
          <w:rFonts w:ascii="Times New Roman" w:hAnsi="Times New Roman" w:cs="Times New Roman"/>
          <w:sz w:val="28"/>
          <w:szCs w:val="28"/>
        </w:rPr>
        <w:t>), так и обеспеченные денежными потоками от конкретных проектов строительства объектов инфраструктуры (</w:t>
      </w:r>
      <w:proofErr w:type="spellStart"/>
      <w:r w:rsidRPr="0025522F">
        <w:rPr>
          <w:rFonts w:ascii="Times New Roman" w:hAnsi="Times New Roman" w:cs="Times New Roman"/>
          <w:sz w:val="28"/>
          <w:szCs w:val="28"/>
        </w:rPr>
        <w:t>revenue</w:t>
      </w:r>
      <w:proofErr w:type="spellEnd"/>
      <w:r w:rsidRPr="0025522F">
        <w:rPr>
          <w:rFonts w:ascii="Times New Roman" w:hAnsi="Times New Roman" w:cs="Times New Roman"/>
          <w:sz w:val="28"/>
          <w:szCs w:val="28"/>
        </w:rPr>
        <w:t xml:space="preserve"> </w:t>
      </w:r>
      <w:proofErr w:type="spellStart"/>
      <w:r w:rsidRPr="0025522F">
        <w:rPr>
          <w:rFonts w:ascii="Times New Roman" w:hAnsi="Times New Roman" w:cs="Times New Roman"/>
          <w:sz w:val="28"/>
          <w:szCs w:val="28"/>
        </w:rPr>
        <w:t>bonds</w:t>
      </w:r>
      <w:proofErr w:type="spellEnd"/>
      <w:r w:rsidRPr="0025522F">
        <w:rPr>
          <w:rFonts w:ascii="Times New Roman" w:hAnsi="Times New Roman" w:cs="Times New Roman"/>
          <w:sz w:val="28"/>
          <w:szCs w:val="28"/>
        </w:rPr>
        <w:t xml:space="preserve">). В последние годы в мировой практике активно развивается финансирование инфраструктурных проектов за счет акционирования. С целью привлечения инвестиций в странах с преимущественно развитой экономикой создаются инфраструктурные фонды, которые занимают уже 2% в общей структуре инвестиционных фондов. Крупнейшим мировым инвестором в развитие транспортной инфраструктуры является Китай, вкладывающий в инфраструктурные проекты суммы, эквивалентные 8% национального ВВП. В структуре финансирования объектов транспортной инфраструктуры Индии основная ставка ISSN 2410-6070 ИННОВАЦИОННАЯ НАУКА №5 / 2019 ~ 101 ~ делается на частный капитал. В качестве набирающих популярность инструментов финансирования инфраструктурных проектов следует обратить внимание на </w:t>
      </w:r>
      <w:proofErr w:type="spellStart"/>
      <w:r w:rsidRPr="0025522F">
        <w:rPr>
          <w:rFonts w:ascii="Times New Roman" w:hAnsi="Times New Roman" w:cs="Times New Roman"/>
          <w:sz w:val="28"/>
          <w:szCs w:val="28"/>
        </w:rPr>
        <w:t>вендорные</w:t>
      </w:r>
      <w:proofErr w:type="spellEnd"/>
      <w:r w:rsidRPr="0025522F">
        <w:rPr>
          <w:rFonts w:ascii="Times New Roman" w:hAnsi="Times New Roman" w:cs="Times New Roman"/>
          <w:sz w:val="28"/>
          <w:szCs w:val="28"/>
        </w:rPr>
        <w:t xml:space="preserve"> и LBO-кредиты. LBO (</w:t>
      </w:r>
      <w:proofErr w:type="spellStart"/>
      <w:r w:rsidRPr="0025522F">
        <w:rPr>
          <w:rFonts w:ascii="Times New Roman" w:hAnsi="Times New Roman" w:cs="Times New Roman"/>
          <w:sz w:val="28"/>
          <w:szCs w:val="28"/>
        </w:rPr>
        <w:t>Leveraged</w:t>
      </w:r>
      <w:proofErr w:type="spellEnd"/>
      <w:r w:rsidRPr="0025522F">
        <w:rPr>
          <w:rFonts w:ascii="Times New Roman" w:hAnsi="Times New Roman" w:cs="Times New Roman"/>
          <w:sz w:val="28"/>
          <w:szCs w:val="28"/>
        </w:rPr>
        <w:t xml:space="preserve"> </w:t>
      </w:r>
      <w:proofErr w:type="spellStart"/>
      <w:r w:rsidRPr="0025522F">
        <w:rPr>
          <w:rFonts w:ascii="Times New Roman" w:hAnsi="Times New Roman" w:cs="Times New Roman"/>
          <w:sz w:val="28"/>
          <w:szCs w:val="28"/>
        </w:rPr>
        <w:t>buyout</w:t>
      </w:r>
      <w:proofErr w:type="spellEnd"/>
      <w:r w:rsidRPr="0025522F">
        <w:rPr>
          <w:rFonts w:ascii="Times New Roman" w:hAnsi="Times New Roman" w:cs="Times New Roman"/>
          <w:sz w:val="28"/>
          <w:szCs w:val="28"/>
        </w:rPr>
        <w:t>) - это сделка, при которой инвестор покупает контрольный пакет акций некой компании и при этом большая часть средств, необходимых для покупки, привлекается им в виде кредита. Такого рода кредиты привлекаются от банков или на рынках долгового капитала. Источником выплаты процентов и погашения самого кредита являются денежные потоки покупаемой компании. Обеспечением по такому кредиту выступают активы покупаемого бизнеса, и иногда активы покупающей компании. Обычно доля долгового финансирования в общем объеме средств, необходимых для покупки, лежит в пределах 50%-70%. Наиболее вероятными объектами LBO являются компании с достаточно хорошим кредитным рейтингом. В таком случае стабильный денежный поток, низкий финансовый рычаг в текущий момент, предсказуемый уровень капитальных затрат являются положительными факторами в принятии решения о финансируемом выкупе. Также идет борьба за привлечение в инфраструктурное строительство средств пенсионных фондов, страховых компаний и фондов национального благосостояния. Финансирование инфраструктурных проектов за счет облигаций имеет как преимущества, так и недостатки. К преимуществам следует отнести в первую очередь более низкую стоимость заимствований и возможность привлечения к финансированию целый ряд частных и институциональных инвесторов. В мировой практике существуют примеры успешного применения механизма эмиссии инфраструктурных облигаций для финансирования реальных проектов. В США инфраструктурные облигации выпускаются на уровне муниципалитетов и носят название специальных целевых облигаций. Эмитируются облигации как общего покрытия (</w:t>
      </w:r>
      <w:proofErr w:type="spellStart"/>
      <w:r w:rsidRPr="0025522F">
        <w:rPr>
          <w:rFonts w:ascii="Times New Roman" w:hAnsi="Times New Roman" w:cs="Times New Roman"/>
          <w:sz w:val="28"/>
          <w:szCs w:val="28"/>
        </w:rPr>
        <w:t>general</w:t>
      </w:r>
      <w:proofErr w:type="spellEnd"/>
      <w:r w:rsidRPr="0025522F">
        <w:rPr>
          <w:rFonts w:ascii="Times New Roman" w:hAnsi="Times New Roman" w:cs="Times New Roman"/>
          <w:sz w:val="28"/>
          <w:szCs w:val="28"/>
        </w:rPr>
        <w:t xml:space="preserve"> </w:t>
      </w:r>
      <w:proofErr w:type="spellStart"/>
      <w:r w:rsidRPr="0025522F">
        <w:rPr>
          <w:rFonts w:ascii="Times New Roman" w:hAnsi="Times New Roman" w:cs="Times New Roman"/>
          <w:sz w:val="28"/>
          <w:szCs w:val="28"/>
        </w:rPr>
        <w:t>bonds</w:t>
      </w:r>
      <w:proofErr w:type="spellEnd"/>
      <w:r w:rsidRPr="0025522F">
        <w:rPr>
          <w:rFonts w:ascii="Times New Roman" w:hAnsi="Times New Roman" w:cs="Times New Roman"/>
          <w:sz w:val="28"/>
          <w:szCs w:val="28"/>
        </w:rPr>
        <w:t>), так и обеспеченные денежными потоками от конкретных проектов строительства объектов инфраструктуры (</w:t>
      </w:r>
      <w:proofErr w:type="spellStart"/>
      <w:r w:rsidRPr="0025522F">
        <w:rPr>
          <w:rFonts w:ascii="Times New Roman" w:hAnsi="Times New Roman" w:cs="Times New Roman"/>
          <w:sz w:val="28"/>
          <w:szCs w:val="28"/>
        </w:rPr>
        <w:t>revenue</w:t>
      </w:r>
      <w:proofErr w:type="spellEnd"/>
      <w:r w:rsidRPr="0025522F">
        <w:rPr>
          <w:rFonts w:ascii="Times New Roman" w:hAnsi="Times New Roman" w:cs="Times New Roman"/>
          <w:sz w:val="28"/>
          <w:szCs w:val="28"/>
        </w:rPr>
        <w:t xml:space="preserve"> </w:t>
      </w:r>
      <w:proofErr w:type="spellStart"/>
      <w:r w:rsidRPr="0025522F">
        <w:rPr>
          <w:rFonts w:ascii="Times New Roman" w:hAnsi="Times New Roman" w:cs="Times New Roman"/>
          <w:sz w:val="28"/>
          <w:szCs w:val="28"/>
        </w:rPr>
        <w:t>bonds</w:t>
      </w:r>
      <w:proofErr w:type="spellEnd"/>
      <w:r w:rsidRPr="0025522F">
        <w:rPr>
          <w:rFonts w:ascii="Times New Roman" w:hAnsi="Times New Roman" w:cs="Times New Roman"/>
          <w:sz w:val="28"/>
          <w:szCs w:val="28"/>
        </w:rPr>
        <w:t>). Доходы от муниципальных облигаций в США, как правило, не облагаются налогами, что создает дополнительную привлекательность для инвесторов. Также примером успешного применения инфраструктурных облигаций может служить Австралия. Данный вид облигаций выпускается правительством под финансирование заранее оговоренного в законодательстве списка инфраструктурных объектов: наземный и воздушный транспорт, электроэнергетика, газо- и водоснабжение, канализационные сооружения. В Европе инфраструктурные облигации выпускались Францией для финансирования проектов строительства стадионов во время подготовки к чемпионату мира по футболу 1998 года. В структуре финансирования объектов транспортной инфраструктуры Индии основная ставка делается на частный капитал. Доля средств государственного бюджета и правительственных займов в объеме инфраструктурных инвестиций составляет немногим более 35%. Инфраструктурные проекты финансируют в большей степени коммерческие банки, небанковские финансовые организации и страховые компании. С целью увеличения привлекательности инфраструктурных инвестиций в Индии применяется ряд налоговых преференций. Так, доходы от инфраструктурных облигаций не облагаются налогами, а компании, основная деятельность которых сосредоточена в сфере развития инфраструктуры, получают налоговые каникулы сроком на 10 лет. Крупнейшим же мировым инвестором в развитие транспортной инфраструктуры является Китай, вкладывающий в инфраструктурные проекты суммы, эквивалентные 8% национального ВВП. Основные объекты транспортной инфраструктуры в Китае — автомобильные и железные дороги, причем развитие железных дорог лежит в основе концепции «Нового шелкового пути» — амбициозного проекта, который призван дать новый импульс китайской экономике и расширить мировое влияние Китая. Если же говорить о финансировании ГЧП в России, к примеру, в транспортной сфере, можн</w:t>
      </w:r>
      <w:r>
        <w:rPr>
          <w:rFonts w:ascii="Times New Roman" w:hAnsi="Times New Roman" w:cs="Times New Roman"/>
          <w:sz w:val="28"/>
          <w:szCs w:val="28"/>
        </w:rPr>
        <w:t xml:space="preserve">о отметить </w:t>
      </w:r>
      <w:r w:rsidRPr="0025522F">
        <w:rPr>
          <w:rFonts w:ascii="Times New Roman" w:hAnsi="Times New Roman" w:cs="Times New Roman"/>
          <w:sz w:val="28"/>
          <w:szCs w:val="28"/>
        </w:rPr>
        <w:t xml:space="preserve">следующие показатели (рис. 1). Рисунок 1 – Объем инвестиций по объектам транспортной инфраструктуры в России 2018 год, </w:t>
      </w:r>
      <w:proofErr w:type="spellStart"/>
      <w:r w:rsidRPr="0025522F">
        <w:rPr>
          <w:rFonts w:ascii="Times New Roman" w:hAnsi="Times New Roman" w:cs="Times New Roman"/>
          <w:sz w:val="28"/>
          <w:szCs w:val="28"/>
        </w:rPr>
        <w:t>млн.руб</w:t>
      </w:r>
      <w:proofErr w:type="spellEnd"/>
      <w:r w:rsidRPr="0025522F">
        <w:rPr>
          <w:rFonts w:ascii="Times New Roman" w:hAnsi="Times New Roman" w:cs="Times New Roman"/>
          <w:sz w:val="28"/>
          <w:szCs w:val="28"/>
        </w:rPr>
        <w:t>. Как показывает опыт, выпуск правительствами этих стран долговых гарантий искажает структуру стимулов для частного капитала и приводит, в конечном итоге, к еще большему риску неплатежеспособности. Принятие же правительствами стран слишком больших рисков обуславливает повышение давления на налогоплательщиков. Отсутствие в некоторых странах из указанных регионов макроэкономической стабильности, приводящей к инфляции или отсутствию стабильности цен, также уменьшает шансы успешной реализации проекта ГЧП, поскольку реальные доходы оказываются существенно ниже понесенных затрат. Резюмируя описанный международный опыт размещения инфраструктурных облигаций, хочется выделить следующие аспекты, которые представляются полезными для внедрения аналогичных инструментов на российском финансовом рынке: • инфраструктурные облигации имеют значительный период до погашения – от 5 до 30 лет (как правило, период до погашения варьируется в диапазоне 15–20 лет); • облигации обеспечены главным образом государственными гарантиями (государственные гарантии могут заменяться поручительствами, гарантиями и страховками «</w:t>
      </w:r>
      <w:proofErr w:type="spellStart"/>
      <w:r w:rsidRPr="0025522F">
        <w:rPr>
          <w:rFonts w:ascii="Times New Roman" w:hAnsi="Times New Roman" w:cs="Times New Roman"/>
          <w:sz w:val="28"/>
          <w:szCs w:val="28"/>
        </w:rPr>
        <w:t>квазигосударственных</w:t>
      </w:r>
      <w:proofErr w:type="spellEnd"/>
      <w:r w:rsidRPr="0025522F">
        <w:rPr>
          <w:rFonts w:ascii="Times New Roman" w:hAnsi="Times New Roman" w:cs="Times New Roman"/>
          <w:sz w:val="28"/>
          <w:szCs w:val="28"/>
        </w:rPr>
        <w:t xml:space="preserve">» институтов, таких как банки развития, специализированные агентства, финансовые организации и т. д.); • инвесторами в инфраструктурные облигации выступают преимущественно пенсионные фонды, банки развития и коммерческие банки, инвестиционные фонды. В структуре капитала основных приобретателей инфраструктурных облигаций зачастую присутствует государство; • эмиссия инфраструктурных облигаций происходит в основном в рамках реализации механизма ГЧП или его аналогов (в ряде стран – механизма концессии); • при выпуске инфраструктурных облигаций необходим прозрачный механизм контроля над целевым использованием привлеченных средств Таким образом, международный опыт применения облигаций для организации финансирования проектов строительства и модернизации транспортной инфраструктуры позволяет утверждать, что данный канал привлечения инвестиций является наиболее перспективным для России. Развитие рынка инфраструктурных облигаций в России не только позволит увеличить инвестиционный потенциал транспортной отрасли страны, но и будет способствовать решению другой стратегической задачи модернизации российской экономики – укрепления внутреннего финансового рынка. Список использованной литературы: 1. Государственно-частное партнерство: зарубежный опыт проектного финансирования. Сборник статей. Никонова И.А., Ярыгина И.З., ред. М.: </w:t>
      </w:r>
      <w:proofErr w:type="spellStart"/>
      <w:r w:rsidRPr="0025522F">
        <w:rPr>
          <w:rFonts w:ascii="Times New Roman" w:hAnsi="Times New Roman" w:cs="Times New Roman"/>
          <w:sz w:val="28"/>
          <w:szCs w:val="28"/>
        </w:rPr>
        <w:t>Кнорус</w:t>
      </w:r>
      <w:proofErr w:type="spellEnd"/>
      <w:r w:rsidRPr="0025522F">
        <w:rPr>
          <w:rFonts w:ascii="Times New Roman" w:hAnsi="Times New Roman" w:cs="Times New Roman"/>
          <w:sz w:val="28"/>
          <w:szCs w:val="28"/>
        </w:rPr>
        <w:t xml:space="preserve">; 2018;(2). 268 с. 2. Журавлёв К.В. Международные транспортные коридоры и их значение для России // Экономическая наука сегодня: теория и практика: материалы V </w:t>
      </w:r>
      <w:proofErr w:type="spellStart"/>
      <w:r w:rsidRPr="0025522F">
        <w:rPr>
          <w:rFonts w:ascii="Times New Roman" w:hAnsi="Times New Roman" w:cs="Times New Roman"/>
          <w:sz w:val="28"/>
          <w:szCs w:val="28"/>
        </w:rPr>
        <w:t>Междунар</w:t>
      </w:r>
      <w:proofErr w:type="spellEnd"/>
      <w:r w:rsidRPr="0025522F">
        <w:rPr>
          <w:rFonts w:ascii="Times New Roman" w:hAnsi="Times New Roman" w:cs="Times New Roman"/>
          <w:sz w:val="28"/>
          <w:szCs w:val="28"/>
        </w:rPr>
        <w:t>. науч.–</w:t>
      </w:r>
      <w:proofErr w:type="spellStart"/>
      <w:r w:rsidRPr="0025522F">
        <w:rPr>
          <w:rFonts w:ascii="Times New Roman" w:hAnsi="Times New Roman" w:cs="Times New Roman"/>
          <w:sz w:val="28"/>
          <w:szCs w:val="28"/>
        </w:rPr>
        <w:t>практ</w:t>
      </w:r>
      <w:proofErr w:type="spellEnd"/>
      <w:r w:rsidRPr="0025522F">
        <w:rPr>
          <w:rFonts w:ascii="Times New Roman" w:hAnsi="Times New Roman" w:cs="Times New Roman"/>
          <w:sz w:val="28"/>
          <w:szCs w:val="28"/>
        </w:rPr>
        <w:t xml:space="preserve">. </w:t>
      </w:r>
      <w:proofErr w:type="spellStart"/>
      <w:r w:rsidRPr="0025522F">
        <w:rPr>
          <w:rFonts w:ascii="Times New Roman" w:hAnsi="Times New Roman" w:cs="Times New Roman"/>
          <w:sz w:val="28"/>
          <w:szCs w:val="28"/>
        </w:rPr>
        <w:t>конф</w:t>
      </w:r>
      <w:proofErr w:type="spellEnd"/>
      <w:r w:rsidRPr="0025522F">
        <w:rPr>
          <w:rFonts w:ascii="Times New Roman" w:hAnsi="Times New Roman" w:cs="Times New Roman"/>
          <w:sz w:val="28"/>
          <w:szCs w:val="28"/>
        </w:rPr>
        <w:t xml:space="preserve">. (Чебоксары, 3 дек. 2017 г.) / </w:t>
      </w:r>
      <w:proofErr w:type="spellStart"/>
      <w:r w:rsidRPr="0025522F">
        <w:rPr>
          <w:rFonts w:ascii="Times New Roman" w:hAnsi="Times New Roman" w:cs="Times New Roman"/>
          <w:sz w:val="28"/>
          <w:szCs w:val="28"/>
        </w:rPr>
        <w:t>редкол</w:t>
      </w:r>
      <w:proofErr w:type="spellEnd"/>
      <w:r w:rsidRPr="0025522F">
        <w:rPr>
          <w:rFonts w:ascii="Times New Roman" w:hAnsi="Times New Roman" w:cs="Times New Roman"/>
          <w:sz w:val="28"/>
          <w:szCs w:val="28"/>
        </w:rPr>
        <w:t>.: О.Н. Широков [и др.] – Чебоксары: ЦНС «</w:t>
      </w:r>
      <w:proofErr w:type="spellStart"/>
      <w:r w:rsidRPr="0025522F">
        <w:rPr>
          <w:rFonts w:ascii="Times New Roman" w:hAnsi="Times New Roman" w:cs="Times New Roman"/>
          <w:sz w:val="28"/>
          <w:szCs w:val="28"/>
        </w:rPr>
        <w:t>Интерактив</w:t>
      </w:r>
      <w:proofErr w:type="spellEnd"/>
      <w:r w:rsidRPr="0025522F">
        <w:rPr>
          <w:rFonts w:ascii="Times New Roman" w:hAnsi="Times New Roman" w:cs="Times New Roman"/>
          <w:sz w:val="28"/>
          <w:szCs w:val="28"/>
        </w:rPr>
        <w:t xml:space="preserve"> плюс», 2017. – С. 193-197 3. </w:t>
      </w:r>
      <w:proofErr w:type="spellStart"/>
      <w:r w:rsidRPr="0025522F">
        <w:rPr>
          <w:rFonts w:ascii="Times New Roman" w:hAnsi="Times New Roman" w:cs="Times New Roman"/>
          <w:sz w:val="28"/>
          <w:szCs w:val="28"/>
        </w:rPr>
        <w:t>Мочалышков</w:t>
      </w:r>
      <w:proofErr w:type="spellEnd"/>
      <w:r w:rsidRPr="0025522F">
        <w:rPr>
          <w:rFonts w:ascii="Times New Roman" w:hAnsi="Times New Roman" w:cs="Times New Roman"/>
          <w:sz w:val="28"/>
          <w:szCs w:val="28"/>
        </w:rPr>
        <w:t xml:space="preserve"> В.Н. Государственно-частное партнерство: отечественный опыт, мировые тенденции, вектор развития для России. Москва</w:t>
      </w:r>
      <w:r w:rsidRPr="0025522F">
        <w:rPr>
          <w:rFonts w:ascii="Times New Roman" w:hAnsi="Times New Roman" w:cs="Times New Roman"/>
          <w:sz w:val="28"/>
          <w:szCs w:val="28"/>
          <w:lang w:val="en-US"/>
        </w:rPr>
        <w:t xml:space="preserve">: </w:t>
      </w:r>
      <w:r w:rsidRPr="0025522F">
        <w:rPr>
          <w:rFonts w:ascii="Times New Roman" w:hAnsi="Times New Roman" w:cs="Times New Roman"/>
          <w:sz w:val="28"/>
          <w:szCs w:val="28"/>
        </w:rPr>
        <w:t>Экономика</w:t>
      </w:r>
      <w:r w:rsidRPr="0025522F">
        <w:rPr>
          <w:rFonts w:ascii="Times New Roman" w:hAnsi="Times New Roman" w:cs="Times New Roman"/>
          <w:sz w:val="28"/>
          <w:szCs w:val="28"/>
          <w:lang w:val="en-US"/>
        </w:rPr>
        <w:t xml:space="preserve">, 2017. – 351 </w:t>
      </w:r>
      <w:r w:rsidRPr="0025522F">
        <w:rPr>
          <w:rFonts w:ascii="Times New Roman" w:hAnsi="Times New Roman" w:cs="Times New Roman"/>
          <w:sz w:val="28"/>
          <w:szCs w:val="28"/>
        </w:rPr>
        <w:t>с</w:t>
      </w:r>
      <w:r w:rsidRPr="0025522F">
        <w:rPr>
          <w:rFonts w:ascii="Times New Roman" w:hAnsi="Times New Roman" w:cs="Times New Roman"/>
          <w:sz w:val="28"/>
          <w:szCs w:val="28"/>
          <w:lang w:val="en-US"/>
        </w:rPr>
        <w:t xml:space="preserve">. </w:t>
      </w:r>
      <w:proofErr w:type="spellStart"/>
      <w:r w:rsidRPr="0025522F">
        <w:rPr>
          <w:rFonts w:ascii="Times New Roman" w:hAnsi="Times New Roman" w:cs="Times New Roman"/>
          <w:sz w:val="28"/>
          <w:szCs w:val="28"/>
          <w:lang w:val="en-US"/>
        </w:rPr>
        <w:t>Nagesha</w:t>
      </w:r>
      <w:proofErr w:type="spellEnd"/>
      <w:r w:rsidRPr="0025522F">
        <w:rPr>
          <w:rFonts w:ascii="Times New Roman" w:hAnsi="Times New Roman" w:cs="Times New Roman"/>
          <w:sz w:val="28"/>
          <w:szCs w:val="28"/>
          <w:lang w:val="en-US"/>
        </w:rPr>
        <w:t xml:space="preserve"> G., </w:t>
      </w:r>
      <w:proofErr w:type="spellStart"/>
      <w:r w:rsidRPr="0025522F">
        <w:rPr>
          <w:rFonts w:ascii="Times New Roman" w:hAnsi="Times New Roman" w:cs="Times New Roman"/>
          <w:sz w:val="28"/>
          <w:szCs w:val="28"/>
          <w:lang w:val="en-US"/>
        </w:rPr>
        <w:t>Gayithri</w:t>
      </w:r>
      <w:proofErr w:type="spellEnd"/>
      <w:r w:rsidRPr="0025522F">
        <w:rPr>
          <w:rFonts w:ascii="Times New Roman" w:hAnsi="Times New Roman" w:cs="Times New Roman"/>
          <w:sz w:val="28"/>
          <w:szCs w:val="28"/>
          <w:lang w:val="en-US"/>
        </w:rPr>
        <w:t xml:space="preserve"> K. A Research Note on the Public-Private Partnership of India’s ISSN 2410-6070 </w:t>
      </w:r>
      <w:r w:rsidRPr="0025522F">
        <w:rPr>
          <w:rFonts w:ascii="Times New Roman" w:hAnsi="Times New Roman" w:cs="Times New Roman"/>
          <w:sz w:val="28"/>
          <w:szCs w:val="28"/>
        </w:rPr>
        <w:t>ИННОВАЦИОННАЯ</w:t>
      </w:r>
      <w:r w:rsidRPr="0025522F">
        <w:rPr>
          <w:rFonts w:ascii="Times New Roman" w:hAnsi="Times New Roman" w:cs="Times New Roman"/>
          <w:sz w:val="28"/>
          <w:szCs w:val="28"/>
          <w:lang w:val="en-US"/>
        </w:rPr>
        <w:t xml:space="preserve"> </w:t>
      </w:r>
      <w:r w:rsidRPr="0025522F">
        <w:rPr>
          <w:rFonts w:ascii="Times New Roman" w:hAnsi="Times New Roman" w:cs="Times New Roman"/>
          <w:sz w:val="28"/>
          <w:szCs w:val="28"/>
        </w:rPr>
        <w:t>НАУКА</w:t>
      </w:r>
      <w:r w:rsidRPr="0025522F">
        <w:rPr>
          <w:rFonts w:ascii="Times New Roman" w:hAnsi="Times New Roman" w:cs="Times New Roman"/>
          <w:sz w:val="28"/>
          <w:szCs w:val="28"/>
          <w:lang w:val="en-US"/>
        </w:rPr>
        <w:t xml:space="preserve"> №5 / 2019 ~ 103 ~ Infrastructure Development // Journal of Infrastructure Development. 2014. Vol. 6. No 2. P. 111–129. Della Croce R., Sharma R. Pooling of Institutional Investors Capital: Selected Case Studies in Unlisted Equity Infrastructure. OECD, 2014. Available at: </w:t>
      </w:r>
      <w:hyperlink r:id="rId8" w:history="1">
        <w:r w:rsidRPr="003B381C">
          <w:rPr>
            <w:rStyle w:val="a5"/>
            <w:rFonts w:ascii="Times New Roman" w:hAnsi="Times New Roman" w:cs="Times New Roman"/>
            <w:sz w:val="28"/>
            <w:szCs w:val="28"/>
            <w:lang w:val="en-US"/>
          </w:rPr>
          <w:t>http://www.oecd.org/finance/OECD-Pooling-Institutional-InvestorsCapital-Unlisted-Equity-Infrastructure.pdf</w:t>
        </w:r>
      </w:hyperlink>
      <w:r w:rsidRPr="0025522F">
        <w:rPr>
          <w:rFonts w:ascii="Times New Roman" w:hAnsi="Times New Roman" w:cs="Times New Roman"/>
          <w:sz w:val="28"/>
          <w:szCs w:val="28"/>
          <w:lang w:val="en-US"/>
        </w:rPr>
        <w:t>.</w:t>
      </w:r>
    </w:p>
    <w:p w:rsidR="00B942D2" w:rsidRDefault="00B942D2" w:rsidP="00B942D2">
      <w:pPr>
        <w:spacing w:line="360" w:lineRule="auto"/>
        <w:ind w:firstLine="708"/>
        <w:jc w:val="both"/>
        <w:rPr>
          <w:rFonts w:ascii="Times New Roman" w:hAnsi="Times New Roman" w:cs="Times New Roman"/>
          <w:sz w:val="28"/>
          <w:szCs w:val="28"/>
          <w:lang w:val="en-US"/>
        </w:rPr>
      </w:pPr>
    </w:p>
    <w:p w:rsidR="00B942D2" w:rsidRPr="00D50809" w:rsidRDefault="00B942D2" w:rsidP="00B942D2">
      <w:pPr>
        <w:shd w:val="clear" w:color="auto" w:fill="F9F9F9"/>
        <w:spacing w:after="240" w:line="240" w:lineRule="auto"/>
        <w:textAlignment w:val="baseline"/>
        <w:rPr>
          <w:rFonts w:ascii="Arial" w:eastAsia="Times New Roman" w:hAnsi="Arial" w:cs="Arial"/>
          <w:color w:val="333333"/>
          <w:sz w:val="30"/>
          <w:szCs w:val="30"/>
          <w:lang w:eastAsia="ru-RU"/>
        </w:rPr>
      </w:pPr>
      <w:r w:rsidRPr="00D50809">
        <w:rPr>
          <w:rFonts w:ascii="Arial" w:eastAsia="Times New Roman" w:hAnsi="Arial" w:cs="Arial"/>
          <w:color w:val="333333"/>
          <w:sz w:val="30"/>
          <w:szCs w:val="30"/>
          <w:lang w:eastAsia="ru-RU"/>
        </w:rPr>
        <w:t>На конец года в </w:t>
      </w:r>
      <w:r w:rsidRPr="00D50809">
        <w:rPr>
          <w:rFonts w:ascii="Arial" w:eastAsia="Times New Roman" w:hAnsi="Arial" w:cs="Arial"/>
          <w:color w:val="565656"/>
          <w:sz w:val="30"/>
          <w:szCs w:val="30"/>
          <w:bdr w:val="none" w:sz="0" w:space="0" w:color="auto" w:frame="1"/>
          <w:lang w:eastAsia="ru-RU"/>
        </w:rPr>
        <w:t>России</w:t>
      </w:r>
      <w:r w:rsidRPr="00D50809">
        <w:rPr>
          <w:rFonts w:ascii="Arial" w:eastAsia="Times New Roman" w:hAnsi="Arial" w:cs="Arial"/>
          <w:color w:val="333333"/>
          <w:sz w:val="30"/>
          <w:szCs w:val="30"/>
          <w:lang w:eastAsia="ru-RU"/>
        </w:rPr>
        <w:t> насчитывается 3601 ГЧП-проект в различных формах и на разных стадиях реализации. Совокупный объем привлекаемых инвестиций составляет 3,9 трлн руб., из которых 2,8 трлн руб. – средства частных инвесторов. В уходящем году более 200 крупных и средних ГЧП-проектов прошли стадию коммерческого закрытия. Общий объем законтрактованных инвестиций в ГЧП-проектах оценивается примерно в 600 млрд руб.</w:t>
      </w:r>
    </w:p>
    <w:p w:rsidR="00B942D2" w:rsidRPr="00D50809" w:rsidRDefault="00B942D2" w:rsidP="00B942D2">
      <w:pPr>
        <w:shd w:val="clear" w:color="auto" w:fill="F9F9F9"/>
        <w:spacing w:after="240" w:line="240" w:lineRule="auto"/>
        <w:textAlignment w:val="baseline"/>
        <w:rPr>
          <w:rFonts w:ascii="Arial" w:eastAsia="Times New Roman" w:hAnsi="Arial" w:cs="Arial"/>
          <w:color w:val="333333"/>
          <w:sz w:val="30"/>
          <w:szCs w:val="30"/>
          <w:lang w:eastAsia="ru-RU"/>
        </w:rPr>
      </w:pPr>
      <w:r w:rsidRPr="00D50809">
        <w:rPr>
          <w:rFonts w:ascii="Arial" w:eastAsia="Times New Roman" w:hAnsi="Arial" w:cs="Arial"/>
          <w:color w:val="333333"/>
          <w:sz w:val="30"/>
          <w:szCs w:val="30"/>
          <w:lang w:eastAsia="ru-RU"/>
        </w:rPr>
        <w:t>ГЧП начало проникать в новые сферы. В мае на полях </w:t>
      </w:r>
      <w:r w:rsidRPr="00D50809">
        <w:rPr>
          <w:rFonts w:ascii="Arial" w:eastAsia="Times New Roman" w:hAnsi="Arial" w:cs="Arial"/>
          <w:color w:val="565656"/>
          <w:sz w:val="30"/>
          <w:szCs w:val="30"/>
          <w:bdr w:val="none" w:sz="0" w:space="0" w:color="auto" w:frame="1"/>
          <w:lang w:eastAsia="ru-RU"/>
        </w:rPr>
        <w:t>ПМЭФ</w:t>
      </w:r>
      <w:r w:rsidRPr="00D50809">
        <w:rPr>
          <w:rFonts w:ascii="Arial" w:eastAsia="Times New Roman" w:hAnsi="Arial" w:cs="Arial"/>
          <w:color w:val="333333"/>
          <w:sz w:val="30"/>
          <w:szCs w:val="30"/>
          <w:lang w:eastAsia="ru-RU"/>
        </w:rPr>
        <w:t> было заключено первое федеральное СГЧП (по 224-ФЗ) </w:t>
      </w:r>
      <w:r w:rsidRPr="00D50809">
        <w:rPr>
          <w:rFonts w:ascii="Arial" w:eastAsia="Times New Roman" w:hAnsi="Arial" w:cs="Arial"/>
          <w:b/>
          <w:bCs/>
          <w:color w:val="333333"/>
          <w:sz w:val="30"/>
          <w:szCs w:val="30"/>
          <w:lang w:eastAsia="ru-RU"/>
        </w:rPr>
        <w:t>в области IT-инфраструктуры</w:t>
      </w:r>
      <w:r w:rsidRPr="00D50809">
        <w:rPr>
          <w:rFonts w:ascii="Arial" w:eastAsia="Times New Roman" w:hAnsi="Arial" w:cs="Arial"/>
          <w:color w:val="333333"/>
          <w:sz w:val="30"/>
          <w:szCs w:val="30"/>
          <w:lang w:eastAsia="ru-RU"/>
        </w:rPr>
        <w:t>. Частные инвесторы привлекались для решения </w:t>
      </w:r>
      <w:r w:rsidRPr="00D50809">
        <w:rPr>
          <w:rFonts w:ascii="Arial" w:eastAsia="Times New Roman" w:hAnsi="Arial" w:cs="Arial"/>
          <w:b/>
          <w:bCs/>
          <w:color w:val="333333"/>
          <w:sz w:val="30"/>
          <w:szCs w:val="30"/>
          <w:lang w:eastAsia="ru-RU"/>
        </w:rPr>
        <w:t>транспортных</w:t>
      </w:r>
      <w:r w:rsidRPr="00D50809">
        <w:rPr>
          <w:rFonts w:ascii="Arial" w:eastAsia="Times New Roman" w:hAnsi="Arial" w:cs="Arial"/>
          <w:color w:val="333333"/>
          <w:sz w:val="30"/>
          <w:szCs w:val="30"/>
          <w:lang w:eastAsia="ru-RU"/>
        </w:rPr>
        <w:t> проблем страны, в том числе и для реализации проектов комплексного плана развития магистральной инфраструктуры. Не менее успешным оказался год и для финансирования уже подписанных соглашений, в частности, по проекту создания инфраструктуры порта </w:t>
      </w:r>
      <w:r w:rsidRPr="00D50809">
        <w:rPr>
          <w:rFonts w:ascii="Arial" w:eastAsia="Times New Roman" w:hAnsi="Arial" w:cs="Arial"/>
          <w:color w:val="565656"/>
          <w:sz w:val="30"/>
          <w:szCs w:val="30"/>
          <w:bdr w:val="none" w:sz="0" w:space="0" w:color="auto" w:frame="1"/>
          <w:lang w:eastAsia="ru-RU"/>
        </w:rPr>
        <w:t>Мурманска</w:t>
      </w:r>
      <w:r w:rsidRPr="00D50809">
        <w:rPr>
          <w:rFonts w:ascii="Arial" w:eastAsia="Times New Roman" w:hAnsi="Arial" w:cs="Arial"/>
          <w:color w:val="333333"/>
          <w:sz w:val="30"/>
          <w:szCs w:val="30"/>
          <w:lang w:eastAsia="ru-RU"/>
        </w:rPr>
        <w:t xml:space="preserve">, строительства автодороги «Виноградово – </w:t>
      </w:r>
      <w:proofErr w:type="spellStart"/>
      <w:r w:rsidRPr="00D50809">
        <w:rPr>
          <w:rFonts w:ascii="Arial" w:eastAsia="Times New Roman" w:hAnsi="Arial" w:cs="Arial"/>
          <w:color w:val="333333"/>
          <w:sz w:val="30"/>
          <w:szCs w:val="30"/>
          <w:lang w:eastAsia="ru-RU"/>
        </w:rPr>
        <w:t>Болтино</w:t>
      </w:r>
      <w:proofErr w:type="spellEnd"/>
      <w:r w:rsidRPr="00D50809">
        <w:rPr>
          <w:rFonts w:ascii="Arial" w:eastAsia="Times New Roman" w:hAnsi="Arial" w:cs="Arial"/>
          <w:color w:val="333333"/>
          <w:sz w:val="30"/>
          <w:szCs w:val="30"/>
          <w:lang w:eastAsia="ru-RU"/>
        </w:rPr>
        <w:t xml:space="preserve"> – </w:t>
      </w:r>
      <w:proofErr w:type="spellStart"/>
      <w:r w:rsidRPr="00D50809">
        <w:rPr>
          <w:rFonts w:ascii="Arial" w:eastAsia="Times New Roman" w:hAnsi="Arial" w:cs="Arial"/>
          <w:color w:val="333333"/>
          <w:sz w:val="30"/>
          <w:szCs w:val="30"/>
          <w:lang w:eastAsia="ru-RU"/>
        </w:rPr>
        <w:t>Тарасовка</w:t>
      </w:r>
      <w:proofErr w:type="spellEnd"/>
      <w:r w:rsidRPr="00D50809">
        <w:rPr>
          <w:rFonts w:ascii="Arial" w:eastAsia="Times New Roman" w:hAnsi="Arial" w:cs="Arial"/>
          <w:color w:val="333333"/>
          <w:sz w:val="30"/>
          <w:szCs w:val="30"/>
          <w:lang w:eastAsia="ru-RU"/>
        </w:rPr>
        <w:t>», также открыты кредитные линии для строительства моста через Обь в </w:t>
      </w:r>
      <w:r w:rsidRPr="00D50809">
        <w:rPr>
          <w:rFonts w:ascii="Arial" w:eastAsia="Times New Roman" w:hAnsi="Arial" w:cs="Arial"/>
          <w:color w:val="565656"/>
          <w:sz w:val="30"/>
          <w:szCs w:val="30"/>
          <w:bdr w:val="none" w:sz="0" w:space="0" w:color="auto" w:frame="1"/>
          <w:lang w:eastAsia="ru-RU"/>
        </w:rPr>
        <w:t>Новосибирске</w:t>
      </w:r>
      <w:r w:rsidRPr="00D50809">
        <w:rPr>
          <w:rFonts w:ascii="Arial" w:eastAsia="Times New Roman" w:hAnsi="Arial" w:cs="Arial"/>
          <w:color w:val="333333"/>
          <w:sz w:val="30"/>
          <w:szCs w:val="30"/>
          <w:lang w:eastAsia="ru-RU"/>
        </w:rPr>
        <w:t>, предоставлено финансирование на четвертый участок Центральной кольцевой автодороги.</w:t>
      </w:r>
    </w:p>
    <w:p w:rsidR="00B942D2" w:rsidRPr="00D50809" w:rsidRDefault="00B942D2" w:rsidP="00B942D2">
      <w:pPr>
        <w:shd w:val="clear" w:color="auto" w:fill="F9F9F9"/>
        <w:spacing w:after="240" w:line="240" w:lineRule="auto"/>
        <w:textAlignment w:val="baseline"/>
        <w:rPr>
          <w:rFonts w:ascii="Arial" w:eastAsia="Times New Roman" w:hAnsi="Arial" w:cs="Arial"/>
          <w:color w:val="333333"/>
          <w:sz w:val="30"/>
          <w:szCs w:val="30"/>
          <w:lang w:eastAsia="ru-RU"/>
        </w:rPr>
      </w:pPr>
      <w:r w:rsidRPr="00D50809">
        <w:rPr>
          <w:rFonts w:ascii="Arial" w:eastAsia="Times New Roman" w:hAnsi="Arial" w:cs="Arial"/>
          <w:color w:val="333333"/>
          <w:sz w:val="30"/>
          <w:szCs w:val="30"/>
          <w:lang w:eastAsia="ru-RU"/>
        </w:rPr>
        <w:t>При этом ряд транспортных проектов попали в так называемый </w:t>
      </w:r>
      <w:r w:rsidRPr="00D50809">
        <w:rPr>
          <w:rFonts w:ascii="Arial" w:eastAsia="Times New Roman" w:hAnsi="Arial" w:cs="Arial"/>
          <w:b/>
          <w:bCs/>
          <w:color w:val="333333"/>
          <w:sz w:val="30"/>
          <w:szCs w:val="30"/>
          <w:lang w:eastAsia="ru-RU"/>
        </w:rPr>
        <w:t>«стоп-лист»</w:t>
      </w:r>
      <w:r w:rsidRPr="00D50809">
        <w:rPr>
          <w:rFonts w:ascii="Arial" w:eastAsia="Times New Roman" w:hAnsi="Arial" w:cs="Arial"/>
          <w:color w:val="333333"/>
          <w:sz w:val="30"/>
          <w:szCs w:val="30"/>
          <w:lang w:eastAsia="ru-RU"/>
        </w:rPr>
        <w:t>, их дальнейшая судьба пока неизвестна. Речь идет о строительстве Восточного выезда из </w:t>
      </w:r>
      <w:r w:rsidRPr="00D50809">
        <w:rPr>
          <w:rFonts w:ascii="Arial" w:eastAsia="Times New Roman" w:hAnsi="Arial" w:cs="Arial"/>
          <w:color w:val="565656"/>
          <w:sz w:val="30"/>
          <w:szCs w:val="30"/>
          <w:bdr w:val="none" w:sz="0" w:space="0" w:color="auto" w:frame="1"/>
          <w:lang w:eastAsia="ru-RU"/>
        </w:rPr>
        <w:t>Уфы</w:t>
      </w:r>
      <w:r w:rsidRPr="00D50809">
        <w:rPr>
          <w:rFonts w:ascii="Arial" w:eastAsia="Times New Roman" w:hAnsi="Arial" w:cs="Arial"/>
          <w:color w:val="333333"/>
          <w:sz w:val="30"/>
          <w:szCs w:val="30"/>
          <w:lang w:eastAsia="ru-RU"/>
        </w:rPr>
        <w:t> - одного из крупнейших и дорогостоящих проектов в </w:t>
      </w:r>
      <w:r w:rsidRPr="00D50809">
        <w:rPr>
          <w:rFonts w:ascii="Arial" w:eastAsia="Times New Roman" w:hAnsi="Arial" w:cs="Arial"/>
          <w:color w:val="565656"/>
          <w:sz w:val="30"/>
          <w:szCs w:val="30"/>
          <w:bdr w:val="none" w:sz="0" w:space="0" w:color="auto" w:frame="1"/>
          <w:lang w:eastAsia="ru-RU"/>
        </w:rPr>
        <w:t xml:space="preserve">Республике </w:t>
      </w:r>
      <w:proofErr w:type="spellStart"/>
      <w:r w:rsidRPr="00D50809">
        <w:rPr>
          <w:rFonts w:ascii="Arial" w:eastAsia="Times New Roman" w:hAnsi="Arial" w:cs="Arial"/>
          <w:color w:val="565656"/>
          <w:sz w:val="30"/>
          <w:szCs w:val="30"/>
          <w:bdr w:val="none" w:sz="0" w:space="0" w:color="auto" w:frame="1"/>
          <w:lang w:eastAsia="ru-RU"/>
        </w:rPr>
        <w:t>Башкортостан</w:t>
      </w:r>
      <w:r w:rsidRPr="00D50809">
        <w:rPr>
          <w:rFonts w:ascii="Arial" w:eastAsia="Times New Roman" w:hAnsi="Arial" w:cs="Arial"/>
          <w:color w:val="333333"/>
          <w:sz w:val="30"/>
          <w:szCs w:val="30"/>
          <w:lang w:eastAsia="ru-RU"/>
        </w:rPr>
        <w:t>стоимостью</w:t>
      </w:r>
      <w:proofErr w:type="spellEnd"/>
      <w:r w:rsidRPr="00D50809">
        <w:rPr>
          <w:rFonts w:ascii="Arial" w:eastAsia="Times New Roman" w:hAnsi="Arial" w:cs="Arial"/>
          <w:color w:val="333333"/>
          <w:sz w:val="30"/>
          <w:szCs w:val="30"/>
          <w:lang w:eastAsia="ru-RU"/>
        </w:rPr>
        <w:t xml:space="preserve"> 34 млрд руб. В этом году его реализация приостановлена, ведутся переговоры о согласовании новых условий с целью снижения бюджетной нагрузки. Подобная ситуация и с железнодорожной линией </w:t>
      </w:r>
      <w:proofErr w:type="spellStart"/>
      <w:r w:rsidRPr="00D50809">
        <w:rPr>
          <w:rFonts w:ascii="Arial" w:eastAsia="Times New Roman" w:hAnsi="Arial" w:cs="Arial"/>
          <w:color w:val="333333"/>
          <w:sz w:val="30"/>
          <w:szCs w:val="30"/>
          <w:lang w:eastAsia="ru-RU"/>
        </w:rPr>
        <w:t>Бованенково</w:t>
      </w:r>
      <w:proofErr w:type="spellEnd"/>
      <w:r w:rsidRPr="00D50809">
        <w:rPr>
          <w:rFonts w:ascii="Arial" w:eastAsia="Times New Roman" w:hAnsi="Arial" w:cs="Arial"/>
          <w:color w:val="333333"/>
          <w:sz w:val="30"/>
          <w:szCs w:val="30"/>
          <w:lang w:eastAsia="ru-RU"/>
        </w:rPr>
        <w:t xml:space="preserve"> — </w:t>
      </w:r>
      <w:proofErr w:type="spellStart"/>
      <w:r w:rsidRPr="00D50809">
        <w:rPr>
          <w:rFonts w:ascii="Arial" w:eastAsia="Times New Roman" w:hAnsi="Arial" w:cs="Arial"/>
          <w:color w:val="333333"/>
          <w:sz w:val="30"/>
          <w:szCs w:val="30"/>
          <w:lang w:eastAsia="ru-RU"/>
        </w:rPr>
        <w:t>Сабетта</w:t>
      </w:r>
      <w:proofErr w:type="spellEnd"/>
      <w:r w:rsidRPr="00D50809">
        <w:rPr>
          <w:rFonts w:ascii="Arial" w:eastAsia="Times New Roman" w:hAnsi="Arial" w:cs="Arial"/>
          <w:color w:val="333333"/>
          <w:sz w:val="30"/>
          <w:szCs w:val="30"/>
          <w:lang w:eastAsia="ru-RU"/>
        </w:rPr>
        <w:t>. В августе группа «ВИС» и </w:t>
      </w:r>
      <w:r w:rsidRPr="00D50809">
        <w:rPr>
          <w:rFonts w:ascii="Arial" w:eastAsia="Times New Roman" w:hAnsi="Arial" w:cs="Arial"/>
          <w:color w:val="565656"/>
          <w:sz w:val="30"/>
          <w:szCs w:val="30"/>
          <w:bdr w:val="none" w:sz="0" w:space="0" w:color="auto" w:frame="1"/>
          <w:lang w:eastAsia="ru-RU"/>
        </w:rPr>
        <w:t>правительство ЯНАО</w:t>
      </w:r>
      <w:r w:rsidRPr="00D50809">
        <w:rPr>
          <w:rFonts w:ascii="Arial" w:eastAsia="Times New Roman" w:hAnsi="Arial" w:cs="Arial"/>
          <w:color w:val="333333"/>
          <w:sz w:val="30"/>
          <w:szCs w:val="30"/>
          <w:lang w:eastAsia="ru-RU"/>
        </w:rPr>
        <w:t> приняли решение о расторжении СГЧП с целью его трансформации в федеральный СШХ-2 в рамках концессии. Дочерняя структура «ВИС» - «ВИС </w:t>
      </w:r>
      <w:proofErr w:type="spellStart"/>
      <w:r w:rsidRPr="00D50809">
        <w:rPr>
          <w:rFonts w:ascii="Arial" w:eastAsia="Times New Roman" w:hAnsi="Arial" w:cs="Arial"/>
          <w:color w:val="565656"/>
          <w:sz w:val="30"/>
          <w:szCs w:val="30"/>
          <w:bdr w:val="none" w:sz="0" w:space="0" w:color="auto" w:frame="1"/>
          <w:shd w:val="clear" w:color="auto" w:fill="E3E3E3"/>
          <w:lang w:eastAsia="ru-RU"/>
        </w:rPr>
        <w:t>ТрансСтрой</w:t>
      </w:r>
      <w:proofErr w:type="spellEnd"/>
      <w:r w:rsidRPr="00D50809">
        <w:rPr>
          <w:rFonts w:ascii="Arial" w:eastAsia="Times New Roman" w:hAnsi="Arial" w:cs="Arial"/>
          <w:color w:val="333333"/>
          <w:sz w:val="30"/>
          <w:szCs w:val="30"/>
          <w:lang w:eastAsia="ru-RU"/>
        </w:rPr>
        <w:t>» - получила из бюджета региона около 937,4 млн руб. компенсации за понесенные расходы.</w:t>
      </w:r>
    </w:p>
    <w:p w:rsidR="00B942D2" w:rsidRDefault="00B942D2" w:rsidP="00B942D2">
      <w:pPr>
        <w:spacing w:line="360" w:lineRule="auto"/>
        <w:ind w:firstLine="708"/>
        <w:jc w:val="both"/>
        <w:rPr>
          <w:rFonts w:ascii="Times New Roman" w:hAnsi="Times New Roman" w:cs="Times New Roman"/>
          <w:sz w:val="28"/>
          <w:szCs w:val="28"/>
        </w:rPr>
      </w:pPr>
      <w:r>
        <w:rPr>
          <w:noProof/>
          <w:lang w:eastAsia="ru-RU"/>
        </w:rPr>
        <w:drawing>
          <wp:inline distT="0" distB="0" distL="0" distR="0" wp14:anchorId="6B7C19BD" wp14:editId="12F45EB9">
            <wp:extent cx="5940425" cy="4494530"/>
            <wp:effectExtent l="0" t="0" r="3175" b="1270"/>
            <wp:docPr id="2" name="Рисунок 2" descr="http://x.elitetrader.ru/img/clip8854213_35K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elitetrader.ru/img/clip8854213_35Kb.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494530"/>
                    </a:xfrm>
                    <a:prstGeom prst="rect">
                      <a:avLst/>
                    </a:prstGeom>
                    <a:noFill/>
                    <a:ln>
                      <a:noFill/>
                    </a:ln>
                  </pic:spPr>
                </pic:pic>
              </a:graphicData>
            </a:graphic>
          </wp:inline>
        </w:drawing>
      </w: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СПИСОК ИСПОЛЬЗОВАННЫХ ИСТОЧНИКОВ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 </w:t>
      </w:r>
      <w:proofErr w:type="spellStart"/>
      <w:r w:rsidRPr="00272FD9">
        <w:rPr>
          <w:rFonts w:ascii="Times New Roman" w:hAnsi="Times New Roman" w:cs="Times New Roman"/>
          <w:sz w:val="28"/>
          <w:szCs w:val="28"/>
        </w:rPr>
        <w:t>Ахтариева</w:t>
      </w:r>
      <w:proofErr w:type="spellEnd"/>
      <w:r w:rsidRPr="00272FD9">
        <w:rPr>
          <w:rFonts w:ascii="Times New Roman" w:hAnsi="Times New Roman" w:cs="Times New Roman"/>
          <w:sz w:val="28"/>
          <w:szCs w:val="28"/>
        </w:rPr>
        <w:t xml:space="preserve"> Л.Г. Современные направления и инструменты </w:t>
      </w:r>
      <w:proofErr w:type="spellStart"/>
      <w:r w:rsidRPr="00272FD9">
        <w:rPr>
          <w:rFonts w:ascii="Times New Roman" w:hAnsi="Times New Roman" w:cs="Times New Roman"/>
          <w:sz w:val="28"/>
          <w:szCs w:val="28"/>
        </w:rPr>
        <w:t>частногосударственного</w:t>
      </w:r>
      <w:proofErr w:type="spellEnd"/>
      <w:r w:rsidRPr="00272FD9">
        <w:rPr>
          <w:rFonts w:ascii="Times New Roman" w:hAnsi="Times New Roman" w:cs="Times New Roman"/>
          <w:sz w:val="28"/>
          <w:szCs w:val="28"/>
        </w:rPr>
        <w:t xml:space="preserve"> партнерства в регионе / Л.Г. </w:t>
      </w:r>
      <w:proofErr w:type="spellStart"/>
      <w:r w:rsidRPr="00272FD9">
        <w:rPr>
          <w:rFonts w:ascii="Times New Roman" w:hAnsi="Times New Roman" w:cs="Times New Roman"/>
          <w:sz w:val="28"/>
          <w:szCs w:val="28"/>
        </w:rPr>
        <w:t>Ахтариева</w:t>
      </w:r>
      <w:proofErr w:type="spellEnd"/>
      <w:r w:rsidRPr="00272FD9">
        <w:rPr>
          <w:rFonts w:ascii="Times New Roman" w:hAnsi="Times New Roman" w:cs="Times New Roman"/>
          <w:sz w:val="28"/>
          <w:szCs w:val="28"/>
        </w:rPr>
        <w:t xml:space="preserve"> // Экономика и управление: Российский научный журнал. – 2014. – № 1/4. – С. 47–50.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2. Гусева М. С., Ильина А. А. Оценка реализации механизма государственно-частного партнерства в субъектах РФ: тенденции, проблемы и перспективы // Научно-методический журнал «Концепт». – 2015. – 25 с.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3. </w:t>
      </w:r>
      <w:proofErr w:type="spellStart"/>
      <w:r w:rsidRPr="00272FD9">
        <w:rPr>
          <w:rFonts w:ascii="Times New Roman" w:hAnsi="Times New Roman" w:cs="Times New Roman"/>
          <w:sz w:val="28"/>
          <w:szCs w:val="28"/>
        </w:rPr>
        <w:t>Еганян</w:t>
      </w:r>
      <w:proofErr w:type="spellEnd"/>
      <w:r w:rsidRPr="00272FD9">
        <w:rPr>
          <w:rFonts w:ascii="Times New Roman" w:hAnsi="Times New Roman" w:cs="Times New Roman"/>
          <w:sz w:val="28"/>
          <w:szCs w:val="28"/>
        </w:rPr>
        <w:t xml:space="preserve"> A. C. Государственно-частное партнерство в России /A. C. </w:t>
      </w:r>
      <w:proofErr w:type="spellStart"/>
      <w:r w:rsidRPr="00272FD9">
        <w:rPr>
          <w:rFonts w:ascii="Times New Roman" w:hAnsi="Times New Roman" w:cs="Times New Roman"/>
          <w:sz w:val="28"/>
          <w:szCs w:val="28"/>
        </w:rPr>
        <w:t>Еганян</w:t>
      </w:r>
      <w:proofErr w:type="spellEnd"/>
      <w:r w:rsidRPr="00272FD9">
        <w:rPr>
          <w:rFonts w:ascii="Times New Roman" w:hAnsi="Times New Roman" w:cs="Times New Roman"/>
          <w:sz w:val="28"/>
          <w:szCs w:val="28"/>
        </w:rPr>
        <w:t xml:space="preserve"> // Государственно-частное партнерство. Пути совершенствования законодательной базы: сб. науч. ст. / Под ред. A. A. Зверева. М. , 2015. – С. 48– 57.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4. </w:t>
      </w:r>
      <w:proofErr w:type="spellStart"/>
      <w:r w:rsidRPr="00272FD9">
        <w:rPr>
          <w:rFonts w:ascii="Times New Roman" w:hAnsi="Times New Roman" w:cs="Times New Roman"/>
          <w:sz w:val="28"/>
          <w:szCs w:val="28"/>
        </w:rPr>
        <w:t>Зельднер</w:t>
      </w:r>
      <w:proofErr w:type="spellEnd"/>
      <w:r w:rsidRPr="00272FD9">
        <w:rPr>
          <w:rFonts w:ascii="Times New Roman" w:hAnsi="Times New Roman" w:cs="Times New Roman"/>
          <w:sz w:val="28"/>
          <w:szCs w:val="28"/>
        </w:rPr>
        <w:t xml:space="preserve"> А. Г. Концептуальные основы становления и функционирования государственно-частного партнерства / А. Г. </w:t>
      </w:r>
      <w:proofErr w:type="spellStart"/>
      <w:r w:rsidRPr="00272FD9">
        <w:rPr>
          <w:rFonts w:ascii="Times New Roman" w:hAnsi="Times New Roman" w:cs="Times New Roman"/>
          <w:sz w:val="28"/>
          <w:szCs w:val="28"/>
        </w:rPr>
        <w:t>Зельднер</w:t>
      </w:r>
      <w:proofErr w:type="spellEnd"/>
      <w:r w:rsidRPr="00272FD9">
        <w:rPr>
          <w:rFonts w:ascii="Times New Roman" w:hAnsi="Times New Roman" w:cs="Times New Roman"/>
          <w:sz w:val="28"/>
          <w:szCs w:val="28"/>
        </w:rPr>
        <w:t xml:space="preserve">. – М.: Институт экономики РАН, – 2010. 42с.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5. </w:t>
      </w:r>
      <w:proofErr w:type="spellStart"/>
      <w:r w:rsidRPr="00272FD9">
        <w:rPr>
          <w:rFonts w:ascii="Times New Roman" w:hAnsi="Times New Roman" w:cs="Times New Roman"/>
          <w:sz w:val="28"/>
          <w:szCs w:val="28"/>
        </w:rPr>
        <w:t>Иголкина</w:t>
      </w:r>
      <w:proofErr w:type="spellEnd"/>
      <w:r w:rsidRPr="00272FD9">
        <w:rPr>
          <w:rFonts w:ascii="Times New Roman" w:hAnsi="Times New Roman" w:cs="Times New Roman"/>
          <w:sz w:val="28"/>
          <w:szCs w:val="28"/>
        </w:rPr>
        <w:t xml:space="preserve"> Л. М. Государственно-частное партнерство. Особенности взаимодействия / Л. М. </w:t>
      </w:r>
      <w:proofErr w:type="spellStart"/>
      <w:r w:rsidRPr="00272FD9">
        <w:rPr>
          <w:rFonts w:ascii="Times New Roman" w:hAnsi="Times New Roman" w:cs="Times New Roman"/>
          <w:sz w:val="28"/>
          <w:szCs w:val="28"/>
        </w:rPr>
        <w:t>Иголкина</w:t>
      </w:r>
      <w:proofErr w:type="spellEnd"/>
      <w:r w:rsidRPr="00272FD9">
        <w:rPr>
          <w:rFonts w:ascii="Times New Roman" w:hAnsi="Times New Roman" w:cs="Times New Roman"/>
          <w:sz w:val="28"/>
          <w:szCs w:val="28"/>
        </w:rPr>
        <w:t xml:space="preserve"> // Теория и практика общественного развития. – 2013. – № 10. – С. 335–337.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6. Методические рекомендации по развитию институциональной среды в сфере государственно-частного партнерства в субъектах РФ : региональный стандарт / под ред. П. Л. </w:t>
      </w:r>
      <w:proofErr w:type="spellStart"/>
      <w:r w:rsidRPr="00272FD9">
        <w:rPr>
          <w:rFonts w:ascii="Times New Roman" w:hAnsi="Times New Roman" w:cs="Times New Roman"/>
          <w:sz w:val="28"/>
          <w:szCs w:val="28"/>
        </w:rPr>
        <w:t>Селезнёва</w:t>
      </w:r>
      <w:proofErr w:type="spellEnd"/>
      <w:r w:rsidRPr="00272FD9">
        <w:rPr>
          <w:rFonts w:ascii="Times New Roman" w:hAnsi="Times New Roman" w:cs="Times New Roman"/>
          <w:sz w:val="28"/>
          <w:szCs w:val="28"/>
        </w:rPr>
        <w:t xml:space="preserve">. – Москва : Изд-во Центра развития ГЧП, 2014. – 52 с.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7. О государственно-частном партнерстве, </w:t>
      </w:r>
      <w:proofErr w:type="spellStart"/>
      <w:r w:rsidRPr="00272FD9">
        <w:rPr>
          <w:rFonts w:ascii="Times New Roman" w:hAnsi="Times New Roman" w:cs="Times New Roman"/>
          <w:sz w:val="28"/>
          <w:szCs w:val="28"/>
        </w:rPr>
        <w:t>муниципально</w:t>
      </w:r>
      <w:proofErr w:type="spellEnd"/>
      <w:r w:rsidRPr="00272FD9">
        <w:rPr>
          <w:rFonts w:ascii="Times New Roman" w:hAnsi="Times New Roman" w:cs="Times New Roman"/>
          <w:sz w:val="28"/>
          <w:szCs w:val="28"/>
        </w:rPr>
        <w:t xml:space="preserve">-частном партнерстве в Российской Федерации и внесении изменений в отдельные законодательные акты Российской Федерации : </w:t>
      </w:r>
      <w:proofErr w:type="spellStart"/>
      <w:r w:rsidRPr="00272FD9">
        <w:rPr>
          <w:rFonts w:ascii="Times New Roman" w:hAnsi="Times New Roman" w:cs="Times New Roman"/>
          <w:sz w:val="28"/>
          <w:szCs w:val="28"/>
        </w:rPr>
        <w:t>федер</w:t>
      </w:r>
      <w:proofErr w:type="spellEnd"/>
      <w:r w:rsidRPr="00272FD9">
        <w:rPr>
          <w:rFonts w:ascii="Times New Roman" w:hAnsi="Times New Roman" w:cs="Times New Roman"/>
          <w:sz w:val="28"/>
          <w:szCs w:val="28"/>
        </w:rPr>
        <w:t xml:space="preserve">. закон от 13 июля 2015 г. № 224-ФЗ.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8. О концессионных соглашениях : </w:t>
      </w:r>
      <w:proofErr w:type="spellStart"/>
      <w:r w:rsidRPr="00272FD9">
        <w:rPr>
          <w:rFonts w:ascii="Times New Roman" w:hAnsi="Times New Roman" w:cs="Times New Roman"/>
          <w:sz w:val="28"/>
          <w:szCs w:val="28"/>
        </w:rPr>
        <w:t>феред</w:t>
      </w:r>
      <w:proofErr w:type="spellEnd"/>
      <w:r w:rsidRPr="00272FD9">
        <w:rPr>
          <w:rFonts w:ascii="Times New Roman" w:hAnsi="Times New Roman" w:cs="Times New Roman"/>
          <w:sz w:val="28"/>
          <w:szCs w:val="28"/>
        </w:rPr>
        <w:t xml:space="preserve">. закон от 21 июля 2005 г. №115-ФЗ. 71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9. О министерстве экономического развития, инвестиционной политики и внешних связей Красноярского края : постановление Правительства Красноярского края от 23 декабря 2014 г. № 639-п.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10. Об определении уполномоченного органа в сфере </w:t>
      </w:r>
      <w:proofErr w:type="spellStart"/>
      <w:r w:rsidRPr="00272FD9">
        <w:rPr>
          <w:rFonts w:ascii="Times New Roman" w:hAnsi="Times New Roman" w:cs="Times New Roman"/>
          <w:sz w:val="28"/>
          <w:szCs w:val="28"/>
        </w:rPr>
        <w:t>государственночастного</w:t>
      </w:r>
      <w:proofErr w:type="spellEnd"/>
      <w:r w:rsidRPr="00272FD9">
        <w:rPr>
          <w:rFonts w:ascii="Times New Roman" w:hAnsi="Times New Roman" w:cs="Times New Roman"/>
          <w:sz w:val="28"/>
          <w:szCs w:val="28"/>
        </w:rPr>
        <w:t xml:space="preserve"> партнерства в Красноярском крае : постановление Правительства Красноярского края от 29 янв. 2016 г. №30-п.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11. Пчелкина В. В. Региональные центры государственно-частного партнерства как институты инвестиционной инфраструктуры / В. В. Пчелкина // Вестник Чувашского университета. – 2013. – № 1. – С. 439–443</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12. Развитие институциональной среды для применения механизмов государственно-частного партнерства в субъектах РФ: метод. рекомендации / М. В. Ткаченко [и др.]. – Москва : Центр развития государственно-частного партнерства, 2014. – 32 с.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13. Развитие государственно-частного партнерства в России в 2015– 2016 годах. Рейтинг регионов по уровню развития ГЧП» / Ассоциация «Центр развития ГЧП», Министерство экономического развития Российской Федерации. – М.: Ассоциация «Центр развития ГЧП», 2016. – 36 с.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14. Развитие государственно-частного партнерства в России в 2014– 2015 годах. Рейтинг регионов по уровню развития ГЧП» / Ассоциация «Центр развития ГЧП», Министерство экономического развития Российской Федерации. – М.: Ассоциация «Центр развития ГЧП», 2016. – 36 с.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15. Развитие ГЧП в России становится системным [Электронный ресурс] : Торгово-промышленные ведомости / ТПП-</w:t>
      </w:r>
      <w:proofErr w:type="spellStart"/>
      <w:r w:rsidRPr="00272FD9">
        <w:rPr>
          <w:rFonts w:ascii="Times New Roman" w:hAnsi="Times New Roman" w:cs="Times New Roman"/>
          <w:sz w:val="28"/>
          <w:szCs w:val="28"/>
        </w:rPr>
        <w:t>Информ</w:t>
      </w:r>
      <w:proofErr w:type="spellEnd"/>
      <w:r w:rsidRPr="00272FD9">
        <w:rPr>
          <w:rFonts w:ascii="Times New Roman" w:hAnsi="Times New Roman" w:cs="Times New Roman"/>
          <w:sz w:val="28"/>
          <w:szCs w:val="28"/>
        </w:rPr>
        <w:t xml:space="preserve">. – Электрон. журн. – Москва : Торгово-промышленная палата, 2016. – Режим доступа: </w:t>
      </w:r>
      <w:hyperlink r:id="rId10" w:history="1">
        <w:r w:rsidRPr="00A75BFD">
          <w:rPr>
            <w:rStyle w:val="a5"/>
            <w:rFonts w:ascii="Times New Roman" w:hAnsi="Times New Roman" w:cs="Times New Roman"/>
            <w:sz w:val="28"/>
            <w:szCs w:val="28"/>
          </w:rPr>
          <w:t>http://old.tpp-inform.ru/analytic_journal/4836.html</w:t>
        </w:r>
      </w:hyperlink>
      <w:r w:rsidRPr="00272FD9">
        <w:rPr>
          <w:rFonts w:ascii="Times New Roman" w:hAnsi="Times New Roman" w:cs="Times New Roman"/>
          <w:sz w:val="28"/>
          <w:szCs w:val="28"/>
        </w:rPr>
        <w:t xml:space="preserve">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16. </w:t>
      </w:r>
      <w:proofErr w:type="spellStart"/>
      <w:r w:rsidRPr="00272FD9">
        <w:rPr>
          <w:rFonts w:ascii="Times New Roman" w:hAnsi="Times New Roman" w:cs="Times New Roman"/>
          <w:sz w:val="28"/>
          <w:szCs w:val="28"/>
        </w:rPr>
        <w:t>Ромодина</w:t>
      </w:r>
      <w:proofErr w:type="spellEnd"/>
      <w:r w:rsidRPr="00272FD9">
        <w:rPr>
          <w:rFonts w:ascii="Times New Roman" w:hAnsi="Times New Roman" w:cs="Times New Roman"/>
          <w:sz w:val="28"/>
          <w:szCs w:val="28"/>
        </w:rPr>
        <w:t xml:space="preserve">, И. В. Экономическая политика и управление экономическим развитием / И. В. </w:t>
      </w:r>
      <w:proofErr w:type="spellStart"/>
      <w:r w:rsidRPr="00272FD9">
        <w:rPr>
          <w:rFonts w:ascii="Times New Roman" w:hAnsi="Times New Roman" w:cs="Times New Roman"/>
          <w:sz w:val="28"/>
          <w:szCs w:val="28"/>
        </w:rPr>
        <w:t>Ромодина</w:t>
      </w:r>
      <w:proofErr w:type="spellEnd"/>
      <w:r w:rsidRPr="00272FD9">
        <w:rPr>
          <w:rFonts w:ascii="Times New Roman" w:hAnsi="Times New Roman" w:cs="Times New Roman"/>
          <w:sz w:val="28"/>
          <w:szCs w:val="28"/>
        </w:rPr>
        <w:t xml:space="preserve"> // Институциональная среда государственно-частного партнерства: опыт Пермского края. – 2015. – №3. – С. 28‒40. 72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17. Семина Е. М. Политико-правовая среда как фактор развития государственно-частного партнерства в России / Е. М. Семина // Успехи в химии и химической технологии. – 2014. – № 7. – С. 62–64 18. Сычева И. В. Исследование форм и механизмов </w:t>
      </w:r>
      <w:proofErr w:type="spellStart"/>
      <w:r w:rsidRPr="00272FD9">
        <w:rPr>
          <w:rFonts w:ascii="Times New Roman" w:hAnsi="Times New Roman" w:cs="Times New Roman"/>
          <w:sz w:val="28"/>
          <w:szCs w:val="28"/>
        </w:rPr>
        <w:t>государственночастного</w:t>
      </w:r>
      <w:proofErr w:type="spellEnd"/>
      <w:r w:rsidRPr="00272FD9">
        <w:rPr>
          <w:rFonts w:ascii="Times New Roman" w:hAnsi="Times New Roman" w:cs="Times New Roman"/>
          <w:sz w:val="28"/>
          <w:szCs w:val="28"/>
        </w:rPr>
        <w:t xml:space="preserve"> партнерства в мировой и отечественной практике / И. В. Сычева // Известия Тульского государственного университета. – 2012. – № 2. – С. 23–33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19. Федеральная служба государственной статистики [Электронный ресурс] : Режим доступа: http://www.gks.ru 20. Шмелева Е. В. Об основах государственно-частного партнерства в РФ / Е. В. Шмелева // Бизнес-журнал государственно-частное партнерство. – 2015. – № 5. – С. 15–18.</w:t>
      </w: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Pr="00272FD9" w:rsidRDefault="00B942D2" w:rsidP="00272FD9">
      <w:pPr>
        <w:ind w:firstLine="708"/>
        <w:jc w:val="both"/>
        <w:rPr>
          <w:rFonts w:ascii="Times New Roman" w:hAnsi="Times New Roman" w:cs="Times New Roman"/>
          <w:sz w:val="28"/>
          <w:szCs w:val="28"/>
        </w:rPr>
      </w:pPr>
    </w:p>
    <w:sectPr w:rsidR="00B942D2" w:rsidRPr="00272FD9" w:rsidSect="00096672">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A67" w:rsidRDefault="00C04A67" w:rsidP="00B942D2">
      <w:pPr>
        <w:spacing w:after="0" w:line="240" w:lineRule="auto"/>
      </w:pPr>
      <w:r>
        <w:separator/>
      </w:r>
    </w:p>
  </w:endnote>
  <w:endnote w:type="continuationSeparator" w:id="0">
    <w:p w:rsidR="00C04A67" w:rsidRDefault="00C04A67" w:rsidP="00B94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MT Extra"/>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LD">
    <w:altName w:val="Times New Roman"/>
    <w:panose1 w:val="00000000000000000000"/>
    <w:charset w:val="00"/>
    <w:family w:val="roman"/>
    <w:notTrueType/>
    <w:pitch w:val="default"/>
  </w:font>
  <w:font w:name="Cambria">
    <w:altName w:val="Palatino Linotype"/>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A67" w:rsidRDefault="00C04A67" w:rsidP="00B942D2">
      <w:pPr>
        <w:spacing w:after="0" w:line="240" w:lineRule="auto"/>
      </w:pPr>
      <w:r>
        <w:separator/>
      </w:r>
    </w:p>
  </w:footnote>
  <w:footnote w:type="continuationSeparator" w:id="0">
    <w:p w:rsidR="00C04A67" w:rsidRDefault="00C04A67" w:rsidP="00B94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403206"/>
      <w:docPartObj>
        <w:docPartGallery w:val="Page Numbers (Top of Page)"/>
        <w:docPartUnique/>
      </w:docPartObj>
    </w:sdtPr>
    <w:sdtEndPr>
      <w:rPr>
        <w:rFonts w:ascii="Times New Roman" w:hAnsi="Times New Roman" w:cs="Times New Roman"/>
        <w:sz w:val="28"/>
        <w:szCs w:val="28"/>
      </w:rPr>
    </w:sdtEndPr>
    <w:sdtContent>
      <w:p w:rsidR="00B942D2" w:rsidRPr="003A77D4" w:rsidRDefault="00096672">
        <w:pPr>
          <w:pStyle w:val="aa"/>
          <w:jc w:val="center"/>
          <w:rPr>
            <w:rFonts w:ascii="Times New Roman" w:hAnsi="Times New Roman" w:cs="Times New Roman"/>
            <w:sz w:val="28"/>
            <w:szCs w:val="28"/>
          </w:rPr>
        </w:pPr>
        <w:r>
          <w:t xml:space="preserve"> </w:t>
        </w:r>
        <w:r w:rsidR="00B942D2" w:rsidRPr="003A77D4">
          <w:rPr>
            <w:rFonts w:ascii="Times New Roman" w:hAnsi="Times New Roman" w:cs="Times New Roman"/>
            <w:sz w:val="28"/>
            <w:szCs w:val="28"/>
          </w:rPr>
          <w:fldChar w:fldCharType="begin"/>
        </w:r>
        <w:r w:rsidR="00B942D2" w:rsidRPr="003A77D4">
          <w:rPr>
            <w:rFonts w:ascii="Times New Roman" w:hAnsi="Times New Roman" w:cs="Times New Roman"/>
            <w:sz w:val="28"/>
            <w:szCs w:val="28"/>
          </w:rPr>
          <w:instrText>PAGE   \* MERGEFORMAT</w:instrText>
        </w:r>
        <w:r w:rsidR="00B942D2" w:rsidRPr="003A77D4">
          <w:rPr>
            <w:rFonts w:ascii="Times New Roman" w:hAnsi="Times New Roman" w:cs="Times New Roman"/>
            <w:sz w:val="28"/>
            <w:szCs w:val="28"/>
          </w:rPr>
          <w:fldChar w:fldCharType="separate"/>
        </w:r>
        <w:r w:rsidR="00164B2B">
          <w:rPr>
            <w:rFonts w:ascii="Times New Roman" w:hAnsi="Times New Roman" w:cs="Times New Roman"/>
            <w:noProof/>
            <w:sz w:val="28"/>
            <w:szCs w:val="28"/>
          </w:rPr>
          <w:t>2</w:t>
        </w:r>
        <w:r w:rsidR="00B942D2" w:rsidRPr="003A77D4">
          <w:rPr>
            <w:rFonts w:ascii="Times New Roman" w:hAnsi="Times New Roman" w:cs="Times New Roman"/>
            <w:sz w:val="28"/>
            <w:szCs w:val="28"/>
          </w:rPr>
          <w:fldChar w:fldCharType="end"/>
        </w:r>
      </w:p>
    </w:sdtContent>
  </w:sdt>
  <w:p w:rsidR="00B942D2" w:rsidRDefault="00B942D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592678"/>
    <w:multiLevelType w:val="hybridMultilevel"/>
    <w:tmpl w:val="E948F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F656AC6"/>
    <w:multiLevelType w:val="hybridMultilevel"/>
    <w:tmpl w:val="0414F31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401"/>
    <w:rsid w:val="00096672"/>
    <w:rsid w:val="00164B2B"/>
    <w:rsid w:val="00214483"/>
    <w:rsid w:val="00265401"/>
    <w:rsid w:val="00272FD9"/>
    <w:rsid w:val="003A77D4"/>
    <w:rsid w:val="005639D4"/>
    <w:rsid w:val="00602BC6"/>
    <w:rsid w:val="006D3182"/>
    <w:rsid w:val="007E193F"/>
    <w:rsid w:val="00951991"/>
    <w:rsid w:val="009B4083"/>
    <w:rsid w:val="00AC4152"/>
    <w:rsid w:val="00B87BF8"/>
    <w:rsid w:val="00B942D2"/>
    <w:rsid w:val="00BD6E95"/>
    <w:rsid w:val="00C04A67"/>
    <w:rsid w:val="00CB0CFC"/>
    <w:rsid w:val="00DF3E2B"/>
    <w:rsid w:val="00EC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942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5401"/>
    <w:pPr>
      <w:ind w:left="720"/>
      <w:contextualSpacing/>
    </w:pPr>
  </w:style>
  <w:style w:type="table" w:styleId="a4">
    <w:name w:val="Table Grid"/>
    <w:basedOn w:val="a1"/>
    <w:uiPriority w:val="39"/>
    <w:rsid w:val="00265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272FD9"/>
    <w:rPr>
      <w:color w:val="0000FF" w:themeColor="hyperlink"/>
      <w:u w:val="single"/>
    </w:rPr>
  </w:style>
  <w:style w:type="paragraph" w:styleId="a6">
    <w:name w:val="Normal (Web)"/>
    <w:basedOn w:val="a"/>
    <w:uiPriority w:val="99"/>
    <w:semiHidden/>
    <w:unhideWhenUsed/>
    <w:rsid w:val="009B40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942D2"/>
    <w:rPr>
      <w:rFonts w:ascii="Times New Roman" w:eastAsia="Times New Roman" w:hAnsi="Times New Roman" w:cs="Times New Roman"/>
      <w:b/>
      <w:bCs/>
      <w:kern w:val="36"/>
      <w:sz w:val="48"/>
      <w:szCs w:val="48"/>
      <w:lang w:eastAsia="ru-RU"/>
    </w:rPr>
  </w:style>
  <w:style w:type="character" w:styleId="a7">
    <w:name w:val="Strong"/>
    <w:basedOn w:val="a0"/>
    <w:uiPriority w:val="22"/>
    <w:qFormat/>
    <w:rsid w:val="00B942D2"/>
    <w:rPr>
      <w:b/>
      <w:bCs/>
    </w:rPr>
  </w:style>
  <w:style w:type="character" w:customStyle="1" w:styleId="hl">
    <w:name w:val="hl"/>
    <w:basedOn w:val="a0"/>
    <w:rsid w:val="00B942D2"/>
  </w:style>
  <w:style w:type="paragraph" w:styleId="a8">
    <w:name w:val="Balloon Text"/>
    <w:basedOn w:val="a"/>
    <w:link w:val="a9"/>
    <w:uiPriority w:val="99"/>
    <w:semiHidden/>
    <w:unhideWhenUsed/>
    <w:rsid w:val="00B942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42D2"/>
    <w:rPr>
      <w:rFonts w:ascii="Tahoma" w:hAnsi="Tahoma" w:cs="Tahoma"/>
      <w:sz w:val="16"/>
      <w:szCs w:val="16"/>
    </w:rPr>
  </w:style>
  <w:style w:type="paragraph" w:styleId="aa">
    <w:name w:val="header"/>
    <w:basedOn w:val="a"/>
    <w:link w:val="ab"/>
    <w:uiPriority w:val="99"/>
    <w:unhideWhenUsed/>
    <w:rsid w:val="00B942D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942D2"/>
  </w:style>
  <w:style w:type="paragraph" w:styleId="ac">
    <w:name w:val="footer"/>
    <w:basedOn w:val="a"/>
    <w:link w:val="ad"/>
    <w:uiPriority w:val="99"/>
    <w:unhideWhenUsed/>
    <w:rsid w:val="00B942D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942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942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5401"/>
    <w:pPr>
      <w:ind w:left="720"/>
      <w:contextualSpacing/>
    </w:pPr>
  </w:style>
  <w:style w:type="table" w:styleId="a4">
    <w:name w:val="Table Grid"/>
    <w:basedOn w:val="a1"/>
    <w:uiPriority w:val="39"/>
    <w:rsid w:val="00265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272FD9"/>
    <w:rPr>
      <w:color w:val="0000FF" w:themeColor="hyperlink"/>
      <w:u w:val="single"/>
    </w:rPr>
  </w:style>
  <w:style w:type="paragraph" w:styleId="a6">
    <w:name w:val="Normal (Web)"/>
    <w:basedOn w:val="a"/>
    <w:uiPriority w:val="99"/>
    <w:semiHidden/>
    <w:unhideWhenUsed/>
    <w:rsid w:val="009B40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942D2"/>
    <w:rPr>
      <w:rFonts w:ascii="Times New Roman" w:eastAsia="Times New Roman" w:hAnsi="Times New Roman" w:cs="Times New Roman"/>
      <w:b/>
      <w:bCs/>
      <w:kern w:val="36"/>
      <w:sz w:val="48"/>
      <w:szCs w:val="48"/>
      <w:lang w:eastAsia="ru-RU"/>
    </w:rPr>
  </w:style>
  <w:style w:type="character" w:styleId="a7">
    <w:name w:val="Strong"/>
    <w:basedOn w:val="a0"/>
    <w:uiPriority w:val="22"/>
    <w:qFormat/>
    <w:rsid w:val="00B942D2"/>
    <w:rPr>
      <w:b/>
      <w:bCs/>
    </w:rPr>
  </w:style>
  <w:style w:type="character" w:customStyle="1" w:styleId="hl">
    <w:name w:val="hl"/>
    <w:basedOn w:val="a0"/>
    <w:rsid w:val="00B942D2"/>
  </w:style>
  <w:style w:type="paragraph" w:styleId="a8">
    <w:name w:val="Balloon Text"/>
    <w:basedOn w:val="a"/>
    <w:link w:val="a9"/>
    <w:uiPriority w:val="99"/>
    <w:semiHidden/>
    <w:unhideWhenUsed/>
    <w:rsid w:val="00B942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42D2"/>
    <w:rPr>
      <w:rFonts w:ascii="Tahoma" w:hAnsi="Tahoma" w:cs="Tahoma"/>
      <w:sz w:val="16"/>
      <w:szCs w:val="16"/>
    </w:rPr>
  </w:style>
  <w:style w:type="paragraph" w:styleId="aa">
    <w:name w:val="header"/>
    <w:basedOn w:val="a"/>
    <w:link w:val="ab"/>
    <w:uiPriority w:val="99"/>
    <w:unhideWhenUsed/>
    <w:rsid w:val="00B942D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942D2"/>
  </w:style>
  <w:style w:type="paragraph" w:styleId="ac">
    <w:name w:val="footer"/>
    <w:basedOn w:val="a"/>
    <w:link w:val="ad"/>
    <w:uiPriority w:val="99"/>
    <w:unhideWhenUsed/>
    <w:rsid w:val="00B942D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9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303610">
      <w:bodyDiv w:val="1"/>
      <w:marLeft w:val="0"/>
      <w:marRight w:val="0"/>
      <w:marTop w:val="0"/>
      <w:marBottom w:val="0"/>
      <w:divBdr>
        <w:top w:val="none" w:sz="0" w:space="0" w:color="auto"/>
        <w:left w:val="none" w:sz="0" w:space="0" w:color="auto"/>
        <w:bottom w:val="none" w:sz="0" w:space="0" w:color="auto"/>
        <w:right w:val="none" w:sz="0" w:space="0" w:color="auto"/>
      </w:divBdr>
    </w:div>
    <w:div w:id="108541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ecd.org/finance/OECD-Pooling-Institutional-InvestorsCapital-Unlisted-Equity-Infrastructure.p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ld.tpp-inform.ru/analytic_journal/4836.html"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16975</Words>
  <Characters>96763</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RZDS</Company>
  <LinksUpToDate>false</LinksUpToDate>
  <CharactersWithSpaces>113511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Марченко Наталья Павловна</dc:creator>
  <cp:lastModifiedBy>Марченко Наталья Павловна</cp:lastModifiedBy>
  <cp:revision>2</cp:revision>
  <dcterms:created xsi:type="dcterms:W3CDTF">2021-08-24T07:23:00Z</dcterms:created>
  <dcterms:modified xsi:type="dcterms:W3CDTF">2021-08-24T07:23:00Z</dcterms:modified>
</cp:coreProperties>
</file>