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BC6" w:rsidRDefault="00602BC6" w:rsidP="00602BC6">
      <w:pPr>
        <w:spacing w:after="0" w:line="240" w:lineRule="auto"/>
        <w:jc w:val="center"/>
        <w:rPr>
          <w:rFonts w:ascii="Times New Roman" w:eastAsia="Calibri" w:hAnsi="Times New Roman" w:cs="Times New Roman"/>
          <w:b/>
          <w:bCs/>
          <w:lang w:eastAsia="ru-RU"/>
        </w:rPr>
      </w:pPr>
    </w:p>
    <w:p w:rsidR="00EC7DD1" w:rsidRPr="0025440B" w:rsidRDefault="00EC7DD1" w:rsidP="00602BC6">
      <w:pPr>
        <w:spacing w:after="0" w:line="240" w:lineRule="auto"/>
        <w:jc w:val="center"/>
        <w:rPr>
          <w:rFonts w:ascii="Times New Roman" w:eastAsia="Times New Roman" w:hAnsi="Times New Roman" w:cs="Times New Roman"/>
          <w:b/>
          <w:bC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r w:rsidRPr="0025440B">
        <w:rPr>
          <w:rFonts w:ascii="Times New Roman" w:eastAsia="Times New Roman" w:hAnsi="Times New Roman" w:cs="Times New Roman"/>
          <w:b/>
          <w:bCs/>
          <w:sz w:val="28"/>
          <w:szCs w:val="28"/>
          <w:lang w:eastAsia="ru-RU"/>
        </w:rPr>
        <w:t>ОТЧЕТ</w:t>
      </w:r>
    </w:p>
    <w:p w:rsidR="00602BC6" w:rsidRPr="0025440B" w:rsidRDefault="00602BC6" w:rsidP="00602BC6">
      <w:pPr>
        <w:spacing w:after="0" w:line="240" w:lineRule="auto"/>
        <w:jc w:val="center"/>
        <w:rPr>
          <w:rFonts w:ascii="Times New Roman" w:eastAsia="Times New Roman" w:hAnsi="Times New Roman" w:cs="Times New Roman"/>
          <w:bCs/>
          <w:caps/>
          <w:sz w:val="28"/>
          <w:szCs w:val="28"/>
          <w:lang w:eastAsia="ru-RU"/>
        </w:rPr>
      </w:pPr>
    </w:p>
    <w:p w:rsidR="00602BC6" w:rsidRPr="0025440B" w:rsidRDefault="00602BC6" w:rsidP="00602BC6">
      <w:pPr>
        <w:spacing w:after="0" w:line="240" w:lineRule="auto"/>
        <w:jc w:val="center"/>
        <w:rPr>
          <w:rFonts w:ascii="Times New Roman" w:eastAsia="Times New Roman" w:hAnsi="Times New Roman" w:cs="Times New Roman"/>
          <w:b/>
          <w:caps/>
          <w:sz w:val="28"/>
          <w:szCs w:val="28"/>
          <w:lang w:eastAsia="ru-RU"/>
        </w:rPr>
      </w:pPr>
      <w:r w:rsidRPr="0025440B">
        <w:rPr>
          <w:rFonts w:ascii="Times New Roman" w:eastAsia="Times New Roman" w:hAnsi="Times New Roman" w:cs="Times New Roman"/>
          <w:b/>
          <w:caps/>
          <w:sz w:val="28"/>
          <w:szCs w:val="28"/>
          <w:lang w:eastAsia="ru-RU"/>
        </w:rPr>
        <w:t>О ПРОХОЖДЕНИИ ПРОИЗВОДСТВЕННОЙ ПРАКТИКИ</w:t>
      </w:r>
    </w:p>
    <w:p w:rsidR="00602BC6" w:rsidRPr="0025440B" w:rsidRDefault="00602BC6" w:rsidP="00602BC6">
      <w:pPr>
        <w:spacing w:after="0" w:line="240" w:lineRule="auto"/>
        <w:jc w:val="center"/>
        <w:rPr>
          <w:rFonts w:ascii="Times New Roman" w:eastAsia="Times New Roman" w:hAnsi="Times New Roman" w:cs="Times New Roman"/>
          <w:b/>
          <w:bCs/>
          <w:sz w:val="28"/>
          <w:szCs w:val="28"/>
          <w:lang w:eastAsia="ru-RU"/>
        </w:rPr>
      </w:pPr>
      <w:r w:rsidRPr="0025440B">
        <w:rPr>
          <w:rFonts w:ascii="Times New Roman" w:eastAsia="Times New Roman" w:hAnsi="Times New Roman" w:cs="Times New Roman"/>
          <w:b/>
          <w:bCs/>
          <w:sz w:val="28"/>
          <w:szCs w:val="28"/>
          <w:lang w:eastAsia="ru-RU"/>
        </w:rPr>
        <w:t>(Научно-исследовательская работа)</w:t>
      </w:r>
    </w:p>
    <w:p w:rsidR="00602BC6" w:rsidRPr="00060150" w:rsidRDefault="00602BC6" w:rsidP="00602BC6">
      <w:pPr>
        <w:spacing w:after="0" w:line="240" w:lineRule="auto"/>
        <w:jc w:val="center"/>
        <w:rPr>
          <w:rFonts w:ascii="Times New Roman" w:eastAsia="Times New Roman" w:hAnsi="Times New Roman" w:cs="Times New Roman"/>
          <w:sz w:val="28"/>
          <w:szCs w:val="28"/>
          <w:lang w:eastAsia="ru-RU"/>
        </w:rPr>
      </w:pPr>
      <w:r w:rsidRPr="00060150">
        <w:rPr>
          <w:rFonts w:ascii="Times New Roman" w:eastAsia="Times New Roman" w:hAnsi="Times New Roman" w:cs="Times New Roman"/>
          <w:sz w:val="28"/>
          <w:szCs w:val="28"/>
          <w:lang w:eastAsia="ru-RU"/>
        </w:rPr>
        <w:t xml:space="preserve">По теме: «Анализ </w:t>
      </w:r>
      <w:r w:rsidRPr="00CB0CFC">
        <w:rPr>
          <w:rFonts w:ascii="Times New Roman" w:eastAsia="Times New Roman" w:hAnsi="Times New Roman" w:cs="Times New Roman"/>
          <w:color w:val="333333"/>
          <w:sz w:val="28"/>
          <w:szCs w:val="28"/>
          <w:lang w:eastAsia="ru-RU"/>
        </w:rPr>
        <w:t>теоретических вопросов в сфере государственно-частного партнерства в строительстве</w:t>
      </w:r>
      <w:r>
        <w:rPr>
          <w:rFonts w:ascii="Times New Roman" w:eastAsia="Times New Roman" w:hAnsi="Times New Roman" w:cs="Times New Roman"/>
          <w:color w:val="333333"/>
          <w:sz w:val="28"/>
          <w:szCs w:val="28"/>
          <w:lang w:eastAsia="ru-RU"/>
        </w:rPr>
        <w:t xml:space="preserve"> и </w:t>
      </w:r>
      <w:r w:rsidR="00214483">
        <w:rPr>
          <w:rFonts w:ascii="Times New Roman" w:eastAsia="Times New Roman" w:hAnsi="Times New Roman" w:cs="Times New Roman"/>
          <w:color w:val="333333"/>
          <w:sz w:val="28"/>
          <w:szCs w:val="28"/>
          <w:lang w:eastAsia="ru-RU"/>
        </w:rPr>
        <w:t xml:space="preserve">выявление </w:t>
      </w:r>
      <w:r w:rsidRPr="00CB0CFC">
        <w:rPr>
          <w:rFonts w:ascii="Times New Roman" w:eastAsia="Times New Roman" w:hAnsi="Times New Roman" w:cs="Times New Roman"/>
          <w:color w:val="333333"/>
          <w:sz w:val="28"/>
          <w:szCs w:val="28"/>
          <w:lang w:eastAsia="ru-RU"/>
        </w:rPr>
        <w:t>особенност</w:t>
      </w:r>
      <w:r w:rsidR="00214483">
        <w:rPr>
          <w:rFonts w:ascii="Times New Roman" w:eastAsia="Times New Roman" w:hAnsi="Times New Roman" w:cs="Times New Roman"/>
          <w:color w:val="333333"/>
          <w:sz w:val="28"/>
          <w:szCs w:val="28"/>
          <w:lang w:eastAsia="ru-RU"/>
        </w:rPr>
        <w:t>ей</w:t>
      </w:r>
      <w:r w:rsidRPr="00CB0CFC">
        <w:rPr>
          <w:rFonts w:ascii="Times New Roman" w:eastAsia="Times New Roman" w:hAnsi="Times New Roman" w:cs="Times New Roman"/>
          <w:color w:val="333333"/>
          <w:sz w:val="28"/>
          <w:szCs w:val="28"/>
          <w:lang w:eastAsia="ru-RU"/>
        </w:rPr>
        <w:t xml:space="preserve"> реализации государственно-частного партнерства в транспортном строительстве в России и за рубежом</w:t>
      </w:r>
      <w:r w:rsidRPr="00060150">
        <w:rPr>
          <w:rFonts w:ascii="Times New Roman" w:eastAsia="Times New Roman" w:hAnsi="Times New Roman" w:cs="Times New Roman"/>
          <w:sz w:val="28"/>
          <w:szCs w:val="28"/>
          <w:lang w:eastAsia="ru-RU"/>
        </w:rPr>
        <w:t>»</w:t>
      </w:r>
    </w:p>
    <w:p w:rsidR="00602BC6" w:rsidRPr="00060150" w:rsidRDefault="00602BC6" w:rsidP="00602BC6">
      <w:pPr>
        <w:spacing w:after="0" w:line="240" w:lineRule="auto"/>
        <w:jc w:val="center"/>
        <w:rPr>
          <w:rFonts w:ascii="Times New Roman" w:eastAsia="Times New Roman" w:hAnsi="Times New Roman" w:cs="Times New Roman"/>
          <w:bCs/>
          <w:sz w:val="24"/>
          <w:szCs w:val="24"/>
          <w:lang w:eastAsia="ru-RU"/>
        </w:rPr>
      </w:pPr>
    </w:p>
    <w:p w:rsidR="00602BC6" w:rsidRDefault="00602BC6" w:rsidP="00602BC6">
      <w:pPr>
        <w:spacing w:after="0" w:line="240" w:lineRule="auto"/>
        <w:jc w:val="both"/>
        <w:rPr>
          <w:rFonts w:ascii="Times New Roman" w:eastAsia="Times New Roman" w:hAnsi="Times New Roman" w:cs="Times New Roman"/>
          <w:bCs/>
          <w:sz w:val="28"/>
          <w:szCs w:val="28"/>
          <w:lang w:eastAsia="x-none"/>
        </w:rPr>
      </w:pPr>
    </w:p>
    <w:p w:rsidR="00EC7DD1" w:rsidRPr="0025440B" w:rsidRDefault="00EC7DD1" w:rsidP="00602BC6">
      <w:pPr>
        <w:spacing w:after="0" w:line="240" w:lineRule="auto"/>
        <w:jc w:val="both"/>
        <w:rPr>
          <w:rFonts w:ascii="Times New Roman" w:eastAsia="Times New Roman" w:hAnsi="Times New Roman" w:cs="Times New Roman"/>
          <w:b/>
          <w:sz w:val="28"/>
          <w:szCs w:val="28"/>
          <w:lang w:eastAsia="ru-RU"/>
        </w:rPr>
      </w:pPr>
      <w:bookmarkStart w:id="0" w:name="_GoBack"/>
      <w:bookmarkEnd w:id="0"/>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eastAsia="Times New Roman" w:hAnsi="Times New Roman" w:cs="Times New Roman"/>
          <w:sz w:val="28"/>
          <w:szCs w:val="28"/>
          <w:lang w:eastAsia="ru-RU"/>
        </w:rPr>
      </w:pPr>
    </w:p>
    <w:p w:rsidR="00602BC6" w:rsidRDefault="00602BC6" w:rsidP="00602BC6">
      <w:pPr>
        <w:spacing w:after="0" w:line="240" w:lineRule="auto"/>
        <w:jc w:val="center"/>
        <w:rPr>
          <w:rFonts w:ascii="Times New Roman" w:hAnsi="Times New Roman" w:cs="Times New Roman"/>
          <w:b/>
          <w:sz w:val="28"/>
          <w:szCs w:val="28"/>
        </w:rPr>
      </w:pPr>
      <w:r w:rsidRPr="0025440B">
        <w:rPr>
          <w:rFonts w:ascii="Times New Roman" w:eastAsia="Times New Roman" w:hAnsi="Times New Roman" w:cs="Times New Roman"/>
          <w:sz w:val="28"/>
          <w:szCs w:val="28"/>
          <w:lang w:eastAsia="ru-RU"/>
        </w:rPr>
        <w:t>2019</w:t>
      </w:r>
      <w:r>
        <w:rPr>
          <w:rFonts w:ascii="Times New Roman" w:hAnsi="Times New Roman" w:cs="Times New Roman"/>
          <w:b/>
          <w:sz w:val="28"/>
          <w:szCs w:val="28"/>
        </w:rPr>
        <w:br w:type="page"/>
      </w: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602BC6" w:rsidRDefault="00602BC6" w:rsidP="00602BC6">
      <w:pPr>
        <w:shd w:val="clear" w:color="auto" w:fill="FFFFFF"/>
        <w:spacing w:after="0" w:line="360" w:lineRule="auto"/>
        <w:jc w:val="both"/>
        <w:rPr>
          <w:rFonts w:ascii="Times New Roman" w:eastAsia="Times New Roman" w:hAnsi="Times New Roman" w:cs="Times New Roman"/>
          <w:color w:val="333333"/>
          <w:sz w:val="28"/>
          <w:szCs w:val="28"/>
          <w:lang w:eastAsia="ru-RU"/>
        </w:rPr>
      </w:pPr>
    </w:p>
    <w:p w:rsidR="00CB0CFC" w:rsidRPr="00CB0CFC" w:rsidRDefault="00CB0CFC" w:rsidP="00602BC6">
      <w:pPr>
        <w:shd w:val="clear" w:color="auto" w:fill="FFFFFF"/>
        <w:spacing w:after="0" w:line="360" w:lineRule="auto"/>
        <w:jc w:val="both"/>
        <w:rPr>
          <w:rFonts w:ascii="Arial" w:eastAsia="Times New Roman" w:hAnsi="Arial" w:cs="Arial"/>
          <w:color w:val="333333"/>
          <w:sz w:val="23"/>
          <w:szCs w:val="23"/>
          <w:lang w:eastAsia="ru-RU"/>
        </w:rPr>
      </w:pPr>
      <w:r w:rsidRPr="00CB0CFC">
        <w:rPr>
          <w:rFonts w:ascii="Times New Roman" w:eastAsia="Times New Roman" w:hAnsi="Times New Roman" w:cs="Times New Roman"/>
          <w:color w:val="333333"/>
          <w:sz w:val="28"/>
          <w:szCs w:val="28"/>
          <w:lang w:eastAsia="ru-RU"/>
        </w:rPr>
        <w:t>1. Выполнить анализ теоретических вопросов в сфере государственно-частного партнерства в строительстве.</w:t>
      </w:r>
    </w:p>
    <w:p w:rsidR="00CB0CFC" w:rsidRPr="00CB0CFC" w:rsidRDefault="00CB0CFC" w:rsidP="00602BC6">
      <w:pPr>
        <w:shd w:val="clear" w:color="auto" w:fill="FFFFFF"/>
        <w:spacing w:after="0" w:line="360" w:lineRule="auto"/>
        <w:jc w:val="both"/>
        <w:rPr>
          <w:rFonts w:ascii="Arial" w:eastAsia="Times New Roman" w:hAnsi="Arial" w:cs="Arial"/>
          <w:color w:val="333333"/>
          <w:sz w:val="23"/>
          <w:szCs w:val="23"/>
          <w:lang w:eastAsia="ru-RU"/>
        </w:rPr>
      </w:pPr>
      <w:r w:rsidRPr="00CB0CFC">
        <w:rPr>
          <w:rFonts w:ascii="Times New Roman" w:eastAsia="Times New Roman" w:hAnsi="Times New Roman" w:cs="Times New Roman"/>
          <w:color w:val="333333"/>
          <w:sz w:val="28"/>
          <w:szCs w:val="28"/>
          <w:lang w:eastAsia="ru-RU"/>
        </w:rPr>
        <w:t>2. Выявить особенности реализации государственно-частного партнерства в транспортном строительстве в России и за рубежом;</w:t>
      </w:r>
    </w:p>
    <w:p w:rsidR="00CB0CFC" w:rsidRDefault="00CB0CFC" w:rsidP="00602BC6">
      <w:pPr>
        <w:spacing w:line="360" w:lineRule="auto"/>
        <w:rPr>
          <w:rFonts w:ascii="Times New Roman" w:hAnsi="Times New Roman" w:cs="Times New Roman"/>
          <w:sz w:val="28"/>
          <w:szCs w:val="28"/>
        </w:rPr>
      </w:pPr>
      <w:r w:rsidRPr="00CB0CFC">
        <w:rPr>
          <w:rFonts w:ascii="Times New Roman" w:eastAsia="Times New Roman" w:hAnsi="Times New Roman" w:cs="Times New Roman"/>
          <w:color w:val="333333"/>
          <w:sz w:val="28"/>
          <w:szCs w:val="28"/>
          <w:shd w:val="clear" w:color="auto" w:fill="FFFFFF"/>
          <w:lang w:eastAsia="ru-RU"/>
        </w:rPr>
        <w:t>3. Сформировать в отчете список литературы по теоретическим вопросам ГЧП.</w:t>
      </w:r>
    </w:p>
    <w:p w:rsidR="00CB0CFC" w:rsidRDefault="00CB0CFC" w:rsidP="00602BC6">
      <w:pPr>
        <w:spacing w:line="360" w:lineRule="auto"/>
        <w:rPr>
          <w:rFonts w:ascii="Times New Roman" w:hAnsi="Times New Roman" w:cs="Times New Roman"/>
          <w:sz w:val="28"/>
          <w:szCs w:val="28"/>
        </w:rPr>
      </w:pPr>
    </w:p>
    <w:p w:rsidR="00CB0CFC" w:rsidRDefault="00CB0CFC" w:rsidP="00602BC6">
      <w:pPr>
        <w:spacing w:line="360" w:lineRule="auto"/>
        <w:rPr>
          <w:rFonts w:ascii="Times New Roman" w:hAnsi="Times New Roman" w:cs="Times New Roman"/>
          <w:sz w:val="28"/>
          <w:szCs w:val="28"/>
        </w:rPr>
      </w:pPr>
    </w:p>
    <w:p w:rsidR="00CB0CFC" w:rsidRDefault="00CB0CFC"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AC4152" w:rsidRDefault="00AC4152" w:rsidP="00AC4152">
      <w:pPr>
        <w:spacing w:line="360" w:lineRule="auto"/>
        <w:ind w:firstLine="851"/>
        <w:jc w:val="center"/>
        <w:rPr>
          <w:rFonts w:ascii="Times New Roman" w:hAnsi="Times New Roman" w:cs="Times New Roman"/>
          <w:sz w:val="28"/>
          <w:szCs w:val="28"/>
        </w:rPr>
      </w:pPr>
      <w:r>
        <w:rPr>
          <w:rFonts w:ascii="Times New Roman" w:hAnsi="Times New Roman" w:cs="Times New Roman"/>
          <w:sz w:val="28"/>
          <w:szCs w:val="28"/>
        </w:rPr>
        <w:lastRenderedPageBreak/>
        <w:t>ОГЛАВЛЕНИЕ</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8"/>
        <w:gridCol w:w="8021"/>
        <w:gridCol w:w="526"/>
      </w:tblGrid>
      <w:tr w:rsidR="00AC4152" w:rsidTr="00B942D2">
        <w:tc>
          <w:tcPr>
            <w:tcW w:w="817" w:type="dxa"/>
          </w:tcPr>
          <w:p w:rsidR="00AC4152" w:rsidRDefault="00AC4152" w:rsidP="00AC4152">
            <w:pPr>
              <w:spacing w:line="360" w:lineRule="auto"/>
              <w:rPr>
                <w:rFonts w:ascii="Times New Roman" w:hAnsi="Times New Roman" w:cs="Times New Roman"/>
                <w:sz w:val="28"/>
                <w:szCs w:val="28"/>
              </w:rPr>
            </w:pPr>
          </w:p>
        </w:tc>
        <w:tc>
          <w:tcPr>
            <w:tcW w:w="8222"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Введение</w:t>
            </w:r>
          </w:p>
        </w:tc>
        <w:tc>
          <w:tcPr>
            <w:tcW w:w="532" w:type="dxa"/>
          </w:tcPr>
          <w:p w:rsidR="00AC4152" w:rsidRDefault="00AC4152" w:rsidP="00AC4152">
            <w:pPr>
              <w:spacing w:line="360" w:lineRule="auto"/>
              <w:jc w:val="center"/>
              <w:rPr>
                <w:rFonts w:ascii="Times New Roman" w:hAnsi="Times New Roman" w:cs="Times New Roman"/>
                <w:sz w:val="28"/>
                <w:szCs w:val="28"/>
              </w:rPr>
            </w:pPr>
            <w:r w:rsidRPr="00265401">
              <w:rPr>
                <w:rFonts w:ascii="Times New Roman" w:hAnsi="Times New Roman" w:cs="Times New Roman"/>
                <w:sz w:val="28"/>
                <w:szCs w:val="28"/>
              </w:rPr>
              <w:t>3</w:t>
            </w: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Pr>
                <w:rFonts w:ascii="Times New Roman" w:hAnsi="Times New Roman" w:cs="Times New Roman"/>
                <w:sz w:val="28"/>
                <w:szCs w:val="28"/>
              </w:rPr>
              <w:t>1</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 xml:space="preserve">Теоретические основы государственно-частного </w:t>
            </w:r>
            <w:r>
              <w:rPr>
                <w:rFonts w:ascii="Times New Roman" w:hAnsi="Times New Roman" w:cs="Times New Roman"/>
                <w:sz w:val="28"/>
                <w:szCs w:val="28"/>
              </w:rPr>
              <w:t>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r w:rsidRPr="00265401">
              <w:rPr>
                <w:rFonts w:ascii="Times New Roman" w:hAnsi="Times New Roman" w:cs="Times New Roman"/>
                <w:sz w:val="28"/>
                <w:szCs w:val="28"/>
              </w:rPr>
              <w:t>5</w:t>
            </w: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1.1</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Понятие, структура и основы государственно</w:t>
            </w:r>
            <w:r>
              <w:rPr>
                <w:rFonts w:ascii="Times New Roman" w:hAnsi="Times New Roman" w:cs="Times New Roman"/>
                <w:sz w:val="28"/>
                <w:szCs w:val="28"/>
              </w:rPr>
              <w:t>-частного партнерства</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1.2</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Организационно-правовые формы и принципы государственного-частного партнерства в России 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1.3</w:t>
            </w:r>
          </w:p>
        </w:tc>
        <w:tc>
          <w:tcPr>
            <w:tcW w:w="8222" w:type="dxa"/>
          </w:tcPr>
          <w:p w:rsidR="00AC4152"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Возможности и перспективы развития государственно-частного</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w:t>
            </w:r>
          </w:p>
        </w:tc>
        <w:tc>
          <w:tcPr>
            <w:tcW w:w="8222" w:type="dxa"/>
          </w:tcPr>
          <w:p w:rsidR="00AC4152" w:rsidRDefault="00B942D2" w:rsidP="00B942D2">
            <w:pPr>
              <w:jc w:val="both"/>
              <w:rPr>
                <w:rFonts w:ascii="Times New Roman" w:hAnsi="Times New Roman" w:cs="Times New Roman"/>
                <w:sz w:val="28"/>
                <w:szCs w:val="28"/>
              </w:rPr>
            </w:pPr>
            <w:r>
              <w:rPr>
                <w:rFonts w:ascii="Times New Roman" w:hAnsi="Times New Roman" w:cs="Times New Roman"/>
                <w:sz w:val="28"/>
                <w:szCs w:val="28"/>
              </w:rPr>
              <w:t>Особенности</w:t>
            </w:r>
            <w:r w:rsidR="00AC4152" w:rsidRPr="00265401">
              <w:rPr>
                <w:rFonts w:ascii="Times New Roman" w:hAnsi="Times New Roman" w:cs="Times New Roman"/>
                <w:sz w:val="28"/>
                <w:szCs w:val="28"/>
              </w:rPr>
              <w:t xml:space="preserve"> р</w:t>
            </w:r>
            <w:r>
              <w:rPr>
                <w:rFonts w:ascii="Times New Roman" w:hAnsi="Times New Roman" w:cs="Times New Roman"/>
                <w:sz w:val="28"/>
                <w:szCs w:val="28"/>
              </w:rPr>
              <w:t xml:space="preserve">еализации </w:t>
            </w:r>
            <w:r w:rsidR="00AC4152" w:rsidRPr="00265401">
              <w:rPr>
                <w:rFonts w:ascii="Times New Roman" w:hAnsi="Times New Roman" w:cs="Times New Roman"/>
                <w:sz w:val="28"/>
                <w:szCs w:val="28"/>
              </w:rPr>
              <w:t xml:space="preserve"> государственно-част</w:t>
            </w:r>
            <w:r w:rsidR="00AC4152">
              <w:rPr>
                <w:rFonts w:ascii="Times New Roman" w:hAnsi="Times New Roman" w:cs="Times New Roman"/>
                <w:sz w:val="28"/>
                <w:szCs w:val="28"/>
              </w:rPr>
              <w:t>ного партнерства в России</w:t>
            </w:r>
            <w:r>
              <w:rPr>
                <w:rFonts w:ascii="Times New Roman" w:hAnsi="Times New Roman" w:cs="Times New Roman"/>
                <w:sz w:val="28"/>
                <w:szCs w:val="28"/>
              </w:rPr>
              <w:t xml:space="preserve"> и за рубежом;</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2.1</w:t>
            </w:r>
          </w:p>
        </w:tc>
        <w:tc>
          <w:tcPr>
            <w:tcW w:w="8222" w:type="dxa"/>
          </w:tcPr>
          <w:p w:rsidR="00AC4152" w:rsidRDefault="00AC4152" w:rsidP="00B942D2">
            <w:pPr>
              <w:jc w:val="both"/>
              <w:rPr>
                <w:rFonts w:ascii="Times New Roman" w:hAnsi="Times New Roman" w:cs="Times New Roman"/>
                <w:sz w:val="28"/>
                <w:szCs w:val="28"/>
              </w:rPr>
            </w:pPr>
            <w:r w:rsidRPr="00265401">
              <w:rPr>
                <w:rFonts w:ascii="Times New Roman" w:hAnsi="Times New Roman" w:cs="Times New Roman"/>
                <w:sz w:val="28"/>
                <w:szCs w:val="28"/>
              </w:rPr>
              <w:t>Анализ реализации проектов государственно-частного партнерства в России</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Default="00AC4152" w:rsidP="00AC4152">
            <w:pPr>
              <w:spacing w:line="360" w:lineRule="auto"/>
              <w:rPr>
                <w:rFonts w:ascii="Times New Roman" w:hAnsi="Times New Roman" w:cs="Times New Roman"/>
                <w:sz w:val="28"/>
                <w:szCs w:val="28"/>
              </w:rPr>
            </w:pPr>
            <w:r w:rsidRPr="00265401">
              <w:rPr>
                <w:rFonts w:ascii="Times New Roman" w:hAnsi="Times New Roman" w:cs="Times New Roman"/>
                <w:sz w:val="28"/>
                <w:szCs w:val="28"/>
              </w:rPr>
              <w:t>2.2</w:t>
            </w:r>
          </w:p>
        </w:tc>
        <w:tc>
          <w:tcPr>
            <w:tcW w:w="8222" w:type="dxa"/>
          </w:tcPr>
          <w:p w:rsidR="00AC4152" w:rsidRDefault="00B942D2" w:rsidP="00B942D2">
            <w:pPr>
              <w:jc w:val="both"/>
              <w:rPr>
                <w:rFonts w:ascii="Times New Roman" w:hAnsi="Times New Roman" w:cs="Times New Roman"/>
                <w:sz w:val="28"/>
                <w:szCs w:val="28"/>
              </w:rPr>
            </w:pPr>
            <w:r w:rsidRPr="00265401">
              <w:rPr>
                <w:rFonts w:ascii="Times New Roman" w:hAnsi="Times New Roman" w:cs="Times New Roman"/>
                <w:sz w:val="28"/>
                <w:szCs w:val="28"/>
              </w:rPr>
              <w:t xml:space="preserve">Анализ реализации проектов государственно-частного партнерства </w:t>
            </w:r>
            <w:r>
              <w:rPr>
                <w:rFonts w:ascii="Times New Roman" w:hAnsi="Times New Roman" w:cs="Times New Roman"/>
                <w:sz w:val="28"/>
                <w:szCs w:val="28"/>
              </w:rPr>
              <w:t>за рубежом</w:t>
            </w:r>
          </w:p>
        </w:tc>
        <w:tc>
          <w:tcPr>
            <w:tcW w:w="532" w:type="dxa"/>
          </w:tcPr>
          <w:p w:rsidR="00AC4152" w:rsidRDefault="00AC4152" w:rsidP="00AC4152">
            <w:pPr>
              <w:spacing w:line="360" w:lineRule="auto"/>
              <w:jc w:val="center"/>
              <w:rPr>
                <w:rFonts w:ascii="Times New Roman" w:hAnsi="Times New Roman" w:cs="Times New Roman"/>
                <w:sz w:val="28"/>
                <w:szCs w:val="28"/>
              </w:rPr>
            </w:pPr>
          </w:p>
        </w:tc>
      </w:tr>
      <w:tr w:rsidR="00B942D2" w:rsidTr="00B942D2">
        <w:tc>
          <w:tcPr>
            <w:tcW w:w="817" w:type="dxa"/>
          </w:tcPr>
          <w:p w:rsidR="00B942D2" w:rsidRPr="00265401" w:rsidRDefault="00B942D2" w:rsidP="00AC4152">
            <w:pPr>
              <w:spacing w:line="360" w:lineRule="auto"/>
              <w:rPr>
                <w:rFonts w:ascii="Times New Roman" w:hAnsi="Times New Roman" w:cs="Times New Roman"/>
                <w:sz w:val="28"/>
                <w:szCs w:val="28"/>
              </w:rPr>
            </w:pPr>
            <w:r>
              <w:rPr>
                <w:rFonts w:ascii="Times New Roman" w:hAnsi="Times New Roman" w:cs="Times New Roman"/>
                <w:sz w:val="28"/>
                <w:szCs w:val="28"/>
              </w:rPr>
              <w:t>3</w:t>
            </w:r>
          </w:p>
        </w:tc>
        <w:tc>
          <w:tcPr>
            <w:tcW w:w="8222" w:type="dxa"/>
          </w:tcPr>
          <w:p w:rsidR="00B942D2" w:rsidRPr="00265401" w:rsidRDefault="00B942D2" w:rsidP="00B942D2">
            <w:pPr>
              <w:jc w:val="both"/>
              <w:rPr>
                <w:rFonts w:ascii="Times New Roman" w:hAnsi="Times New Roman" w:cs="Times New Roman"/>
                <w:sz w:val="28"/>
                <w:szCs w:val="28"/>
              </w:rPr>
            </w:pPr>
            <w:r>
              <w:rPr>
                <w:rFonts w:ascii="Times New Roman" w:hAnsi="Times New Roman" w:cs="Times New Roman"/>
                <w:sz w:val="28"/>
                <w:szCs w:val="28"/>
              </w:rPr>
              <w:t>Заключение</w:t>
            </w:r>
          </w:p>
        </w:tc>
        <w:tc>
          <w:tcPr>
            <w:tcW w:w="532" w:type="dxa"/>
          </w:tcPr>
          <w:p w:rsidR="00B942D2" w:rsidRDefault="00B942D2" w:rsidP="00AC4152">
            <w:pPr>
              <w:spacing w:line="360" w:lineRule="auto"/>
              <w:jc w:val="center"/>
              <w:rPr>
                <w:rFonts w:ascii="Times New Roman" w:hAnsi="Times New Roman" w:cs="Times New Roman"/>
                <w:sz w:val="28"/>
                <w:szCs w:val="28"/>
              </w:rPr>
            </w:pPr>
          </w:p>
        </w:tc>
      </w:tr>
      <w:tr w:rsidR="00AC4152" w:rsidTr="00B942D2">
        <w:tc>
          <w:tcPr>
            <w:tcW w:w="817" w:type="dxa"/>
          </w:tcPr>
          <w:p w:rsidR="00AC4152" w:rsidRPr="00265401" w:rsidRDefault="00B942D2" w:rsidP="00AC4152">
            <w:pPr>
              <w:spacing w:line="360" w:lineRule="auto"/>
              <w:rPr>
                <w:rFonts w:ascii="Times New Roman" w:hAnsi="Times New Roman" w:cs="Times New Roman"/>
                <w:sz w:val="28"/>
                <w:szCs w:val="28"/>
              </w:rPr>
            </w:pPr>
            <w:r>
              <w:rPr>
                <w:rFonts w:ascii="Times New Roman" w:hAnsi="Times New Roman" w:cs="Times New Roman"/>
                <w:sz w:val="28"/>
                <w:szCs w:val="28"/>
              </w:rPr>
              <w:t>4</w:t>
            </w:r>
          </w:p>
        </w:tc>
        <w:tc>
          <w:tcPr>
            <w:tcW w:w="8222" w:type="dxa"/>
          </w:tcPr>
          <w:p w:rsidR="00AC4152" w:rsidRPr="00265401" w:rsidRDefault="00AC4152" w:rsidP="00AC4152">
            <w:pPr>
              <w:jc w:val="both"/>
              <w:rPr>
                <w:rFonts w:ascii="Times New Roman" w:hAnsi="Times New Roman" w:cs="Times New Roman"/>
                <w:sz w:val="28"/>
                <w:szCs w:val="28"/>
              </w:rPr>
            </w:pPr>
            <w:r w:rsidRPr="00265401">
              <w:rPr>
                <w:rFonts w:ascii="Times New Roman" w:hAnsi="Times New Roman" w:cs="Times New Roman"/>
                <w:sz w:val="28"/>
                <w:szCs w:val="28"/>
              </w:rPr>
              <w:t>Список использованных источников</w:t>
            </w:r>
          </w:p>
        </w:tc>
        <w:tc>
          <w:tcPr>
            <w:tcW w:w="532" w:type="dxa"/>
          </w:tcPr>
          <w:p w:rsidR="00AC4152" w:rsidRDefault="00AC4152" w:rsidP="00AC4152">
            <w:pPr>
              <w:spacing w:line="360" w:lineRule="auto"/>
              <w:jc w:val="center"/>
              <w:rPr>
                <w:rFonts w:ascii="Times New Roman" w:hAnsi="Times New Roman" w:cs="Times New Roman"/>
                <w:sz w:val="28"/>
                <w:szCs w:val="28"/>
              </w:rPr>
            </w:pPr>
          </w:p>
        </w:tc>
      </w:tr>
    </w:tbl>
    <w:p w:rsidR="00265401" w:rsidRDefault="00265401" w:rsidP="00B942D2">
      <w:pPr>
        <w:spacing w:line="360" w:lineRule="auto"/>
        <w:ind w:firstLine="851"/>
        <w:jc w:val="both"/>
        <w:rPr>
          <w:rFonts w:ascii="Times New Roman" w:hAnsi="Times New Roman" w:cs="Times New Roman"/>
          <w:sz w:val="28"/>
          <w:szCs w:val="28"/>
        </w:rPr>
      </w:pPr>
    </w:p>
    <w:p w:rsidR="00265401" w:rsidRDefault="00265401"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602BC6" w:rsidRDefault="00602BC6"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B942D2" w:rsidRDefault="00B942D2"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AC4152" w:rsidRDefault="00AC4152" w:rsidP="00602BC6">
      <w:pPr>
        <w:spacing w:line="360" w:lineRule="auto"/>
        <w:rPr>
          <w:rFonts w:ascii="Times New Roman" w:hAnsi="Times New Roman" w:cs="Times New Roman"/>
          <w:sz w:val="28"/>
          <w:szCs w:val="28"/>
        </w:rPr>
      </w:pPr>
    </w:p>
    <w:p w:rsidR="00265401" w:rsidRPr="009B4083" w:rsidRDefault="00265401" w:rsidP="009B4083">
      <w:pPr>
        <w:spacing w:after="0" w:line="360" w:lineRule="auto"/>
        <w:ind w:firstLine="709"/>
        <w:rPr>
          <w:rFonts w:ascii="Times New Roman" w:hAnsi="Times New Roman" w:cs="Times New Roman"/>
          <w:sz w:val="28"/>
          <w:szCs w:val="28"/>
        </w:rPr>
      </w:pPr>
      <w:r w:rsidRPr="009B4083">
        <w:rPr>
          <w:rFonts w:ascii="Times New Roman" w:hAnsi="Times New Roman" w:cs="Times New Roman"/>
          <w:sz w:val="28"/>
          <w:szCs w:val="28"/>
        </w:rPr>
        <w:t xml:space="preserve">ВВЕДЕНИЕ </w:t>
      </w:r>
    </w:p>
    <w:p w:rsidR="00AC4152" w:rsidRPr="009B4083" w:rsidRDefault="00AC4152"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 xml:space="preserve">Научно-исследовательская работа (НИР)— это средство повышения уровня подготовки различных специалистов с высшим профессиональным образованием через освоение </w:t>
      </w:r>
      <w:r w:rsidR="003A77D4">
        <w:rPr>
          <w:rFonts w:ascii="Times New Roman" w:hAnsi="Times New Roman" w:cs="Times New Roman"/>
          <w:sz w:val="28"/>
          <w:szCs w:val="28"/>
        </w:rPr>
        <w:t>магистрантами</w:t>
      </w:r>
      <w:r w:rsidRPr="009B4083">
        <w:rPr>
          <w:rFonts w:ascii="Times New Roman" w:hAnsi="Times New Roman" w:cs="Times New Roman"/>
          <w:sz w:val="28"/>
          <w:szCs w:val="28"/>
        </w:rPr>
        <w:t xml:space="preserve"> в процессе обучения учебных планов и сверх них</w:t>
      </w:r>
      <w:r w:rsidR="003A77D4">
        <w:rPr>
          <w:rFonts w:ascii="Times New Roman" w:hAnsi="Times New Roman" w:cs="Times New Roman"/>
          <w:sz w:val="28"/>
          <w:szCs w:val="28"/>
        </w:rPr>
        <w:t xml:space="preserve"> </w:t>
      </w:r>
      <w:r w:rsidRPr="009B4083">
        <w:rPr>
          <w:rFonts w:ascii="Times New Roman" w:hAnsi="Times New Roman" w:cs="Times New Roman"/>
          <w:sz w:val="28"/>
          <w:szCs w:val="28"/>
        </w:rPr>
        <w:t xml:space="preserve"> основ разнонаправленной профессионально-творческой деятельности, методов, а также приемов и выработки навыков индивидуального и совместно-группового выполнения научно-исследовательских работ, развитие самостоятельности, способностей к научному творчеству. </w:t>
      </w:r>
    </w:p>
    <w:p w:rsidR="00AC4152" w:rsidRPr="009B4083" w:rsidRDefault="00AC4152"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К целям НИР относится:</w:t>
      </w:r>
    </w:p>
    <w:p w:rsidR="00AC4152" w:rsidRPr="009B4083" w:rsidRDefault="006D3182" w:rsidP="009B4083">
      <w:pPr>
        <w:numPr>
          <w:ilvl w:val="0"/>
          <w:numId w:val="1"/>
        </w:numPr>
        <w:spacing w:after="0" w:line="360" w:lineRule="auto"/>
        <w:ind w:left="0" w:firstLine="709"/>
        <w:contextualSpacing/>
        <w:jc w:val="both"/>
        <w:rPr>
          <w:rFonts w:ascii="Times New Roman" w:hAnsi="Times New Roman" w:cs="Times New Roman"/>
          <w:sz w:val="28"/>
          <w:szCs w:val="28"/>
        </w:rPr>
      </w:pPr>
      <w:r w:rsidRPr="009B4083">
        <w:rPr>
          <w:rFonts w:ascii="Times New Roman" w:eastAsia="Times New Roman" w:hAnsi="Times New Roman" w:cs="Times New Roman"/>
          <w:color w:val="333333"/>
          <w:sz w:val="28"/>
          <w:szCs w:val="28"/>
          <w:lang w:eastAsia="ru-RU"/>
        </w:rPr>
        <w:t>Подбор и анализ</w:t>
      </w:r>
      <w:r w:rsidR="00214483" w:rsidRPr="009B4083">
        <w:rPr>
          <w:rFonts w:ascii="Times New Roman" w:eastAsia="Times New Roman" w:hAnsi="Times New Roman" w:cs="Times New Roman"/>
          <w:color w:val="333333"/>
          <w:sz w:val="28"/>
          <w:szCs w:val="28"/>
          <w:lang w:eastAsia="ru-RU"/>
        </w:rPr>
        <w:t xml:space="preserve"> литературы </w:t>
      </w:r>
      <w:r w:rsidR="00AC4152" w:rsidRPr="009B4083">
        <w:rPr>
          <w:rFonts w:ascii="Times New Roman" w:hAnsi="Times New Roman" w:cs="Times New Roman"/>
          <w:sz w:val="28"/>
          <w:szCs w:val="28"/>
        </w:rPr>
        <w:t xml:space="preserve">по </w:t>
      </w:r>
      <w:r w:rsidR="00AC4152" w:rsidRPr="009B4083">
        <w:rPr>
          <w:rFonts w:ascii="Times New Roman" w:eastAsia="Times New Roman" w:hAnsi="Times New Roman" w:cs="Times New Roman"/>
          <w:color w:val="333333"/>
          <w:sz w:val="28"/>
          <w:szCs w:val="28"/>
          <w:lang w:eastAsia="ru-RU"/>
        </w:rPr>
        <w:t>теоретическим вопросам в сфере государственно-частного партнерства в строительстве</w:t>
      </w:r>
      <w:r w:rsidRPr="009B4083">
        <w:rPr>
          <w:rFonts w:ascii="Times New Roman" w:eastAsia="Times New Roman" w:hAnsi="Times New Roman" w:cs="Times New Roman"/>
          <w:color w:val="333333"/>
          <w:sz w:val="28"/>
          <w:szCs w:val="28"/>
          <w:lang w:eastAsia="ru-RU"/>
        </w:rPr>
        <w:t xml:space="preserve">, </w:t>
      </w:r>
      <w:r w:rsidRPr="009B4083">
        <w:rPr>
          <w:rFonts w:ascii="Times New Roman" w:hAnsi="Times New Roman" w:cs="Times New Roman"/>
          <w:sz w:val="28"/>
          <w:szCs w:val="28"/>
        </w:rPr>
        <w:t>реализации государственно-частного партнерства в транспортном строительстве в России и за рубежом</w:t>
      </w:r>
      <w:r w:rsidR="00AC4152" w:rsidRPr="009B4083">
        <w:rPr>
          <w:rFonts w:ascii="Times New Roman" w:hAnsi="Times New Roman" w:cs="Times New Roman"/>
          <w:sz w:val="28"/>
          <w:szCs w:val="28"/>
        </w:rPr>
        <w:t>;</w:t>
      </w:r>
    </w:p>
    <w:p w:rsidR="00214483" w:rsidRPr="009B4083" w:rsidRDefault="006D3182" w:rsidP="009B4083">
      <w:pPr>
        <w:numPr>
          <w:ilvl w:val="0"/>
          <w:numId w:val="1"/>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 xml:space="preserve">Поиск, анализ и систематизация информации о </w:t>
      </w:r>
      <w:r w:rsidR="00B87BF8" w:rsidRPr="009B4083">
        <w:rPr>
          <w:rFonts w:ascii="Times New Roman" w:eastAsia="Times New Roman" w:hAnsi="Times New Roman" w:cs="Times New Roman"/>
          <w:color w:val="333333"/>
          <w:sz w:val="28"/>
          <w:szCs w:val="28"/>
          <w:lang w:eastAsia="ru-RU"/>
        </w:rPr>
        <w:t>государственно-частном партнерстве в строительстве, особенностях реализации государственно-частного партнерства в транспортном строительстве в России и за рубежом</w:t>
      </w:r>
      <w:r w:rsidR="00B87BF8" w:rsidRPr="009B4083">
        <w:rPr>
          <w:rFonts w:ascii="Times New Roman" w:eastAsia="Times New Roman" w:hAnsi="Times New Roman" w:cs="Times New Roman"/>
          <w:sz w:val="28"/>
          <w:szCs w:val="28"/>
          <w:lang w:eastAsia="ru-RU"/>
        </w:rPr>
        <w:t>;</w:t>
      </w:r>
      <w:r w:rsidR="00B87BF8" w:rsidRPr="009B4083">
        <w:rPr>
          <w:rFonts w:ascii="Times New Roman" w:hAnsi="Times New Roman" w:cs="Times New Roman"/>
          <w:sz w:val="28"/>
          <w:szCs w:val="28"/>
        </w:rPr>
        <w:t xml:space="preserve">  </w:t>
      </w:r>
    </w:p>
    <w:p w:rsidR="00214483" w:rsidRPr="009B4083" w:rsidRDefault="00214483"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Направление научно-исследовательских работ студента-магистранта строится на основе темы магистерской диссертации.</w:t>
      </w:r>
    </w:p>
    <w:p w:rsidR="00214483" w:rsidRPr="009B4083" w:rsidRDefault="00214483" w:rsidP="009B4083">
      <w:pPr>
        <w:spacing w:after="0" w:line="360" w:lineRule="auto"/>
        <w:ind w:firstLine="709"/>
        <w:jc w:val="both"/>
        <w:rPr>
          <w:rFonts w:ascii="Times New Roman" w:hAnsi="Times New Roman" w:cs="Times New Roman"/>
          <w:sz w:val="28"/>
          <w:szCs w:val="28"/>
        </w:rPr>
      </w:pPr>
      <w:r w:rsidRPr="009B4083">
        <w:rPr>
          <w:rFonts w:ascii="Times New Roman" w:hAnsi="Times New Roman" w:cs="Times New Roman"/>
          <w:sz w:val="28"/>
          <w:szCs w:val="28"/>
        </w:rPr>
        <w:t>Задачами производственной практики НИР являются:</w:t>
      </w:r>
    </w:p>
    <w:p w:rsidR="00214483" w:rsidRPr="009B4083" w:rsidRDefault="00214483" w:rsidP="009B4083">
      <w:pPr>
        <w:numPr>
          <w:ilvl w:val="0"/>
          <w:numId w:val="2"/>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 xml:space="preserve">практическое использование знаний по </w:t>
      </w:r>
      <w:r w:rsidRPr="009B4083">
        <w:rPr>
          <w:rFonts w:ascii="Times New Roman" w:eastAsia="Times New Roman" w:hAnsi="Times New Roman" w:cs="Times New Roman"/>
          <w:color w:val="333333"/>
          <w:sz w:val="28"/>
          <w:szCs w:val="28"/>
          <w:lang w:eastAsia="ru-RU"/>
        </w:rPr>
        <w:t>вопросам в сфере государственно-частного партнерства в строительстве</w:t>
      </w:r>
      <w:r w:rsidRPr="009B4083">
        <w:rPr>
          <w:rFonts w:ascii="Times New Roman" w:hAnsi="Times New Roman" w:cs="Times New Roman"/>
          <w:sz w:val="28"/>
          <w:szCs w:val="28"/>
        </w:rPr>
        <w:t>;</w:t>
      </w:r>
    </w:p>
    <w:p w:rsidR="00951991" w:rsidRPr="009B4083" w:rsidRDefault="00214483" w:rsidP="009B4083">
      <w:pPr>
        <w:numPr>
          <w:ilvl w:val="0"/>
          <w:numId w:val="2"/>
        </w:numPr>
        <w:spacing w:after="0" w:line="360" w:lineRule="auto"/>
        <w:ind w:left="0" w:firstLine="709"/>
        <w:contextualSpacing/>
        <w:jc w:val="both"/>
        <w:rPr>
          <w:rFonts w:ascii="Times New Roman" w:hAnsi="Times New Roman" w:cs="Times New Roman"/>
          <w:sz w:val="28"/>
          <w:szCs w:val="28"/>
        </w:rPr>
      </w:pPr>
      <w:r w:rsidRPr="009B4083">
        <w:rPr>
          <w:rFonts w:ascii="Times New Roman" w:hAnsi="Times New Roman" w:cs="Times New Roman"/>
          <w:sz w:val="28"/>
          <w:szCs w:val="28"/>
        </w:rPr>
        <w:t>укрепление способностей определения</w:t>
      </w:r>
      <w:r w:rsidR="00951991" w:rsidRPr="009B4083">
        <w:rPr>
          <w:rFonts w:ascii="Times New Roman" w:hAnsi="Times New Roman" w:cs="Times New Roman"/>
          <w:sz w:val="28"/>
          <w:szCs w:val="28"/>
        </w:rPr>
        <w:t xml:space="preserve"> актуальности, теоретической и практической значимости государственно-частного партнерства в строительстве, выявление особенностей реализации государственно-частного партнерства в транспортном строительстве в России и за рубежом;</w:t>
      </w:r>
    </w:p>
    <w:p w:rsidR="00214483"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lastRenderedPageBreak/>
        <w:t xml:space="preserve">развитие навыков </w:t>
      </w:r>
      <w:r w:rsidR="00951991" w:rsidRPr="009B4083">
        <w:rPr>
          <w:rFonts w:ascii="Times New Roman" w:eastAsia="Times New Roman" w:hAnsi="Times New Roman" w:cs="Times New Roman"/>
          <w:color w:val="333333"/>
          <w:sz w:val="28"/>
          <w:szCs w:val="28"/>
          <w:lang w:eastAsia="ru-RU"/>
        </w:rPr>
        <w:t>проводить самостоятельные исследования в соответствии с разработанной программой, обобщать и критически оценивать научные исследования в экономике</w:t>
      </w:r>
      <w:r w:rsidRPr="009B4083">
        <w:rPr>
          <w:rFonts w:ascii="Times New Roman" w:eastAsia="Times New Roman" w:hAnsi="Times New Roman" w:cs="Times New Roman"/>
          <w:color w:val="333333"/>
          <w:sz w:val="28"/>
          <w:szCs w:val="28"/>
          <w:lang w:eastAsia="ru-RU"/>
        </w:rPr>
        <w:t>;</w:t>
      </w:r>
    </w:p>
    <w:p w:rsidR="006D3182"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t xml:space="preserve">развитие навыков обобщать и критически оценивать результаты, полученные отечественными и зарубежными исследователями, выявлять </w:t>
      </w:r>
      <w:r w:rsidR="00B942D2">
        <w:rPr>
          <w:rFonts w:ascii="Times New Roman" w:eastAsia="Times New Roman" w:hAnsi="Times New Roman" w:cs="Times New Roman"/>
          <w:color w:val="333333"/>
          <w:sz w:val="28"/>
          <w:szCs w:val="28"/>
          <w:lang w:eastAsia="ru-RU"/>
        </w:rPr>
        <w:t>.</w:t>
      </w:r>
      <w:r w:rsidRPr="009B4083">
        <w:rPr>
          <w:rFonts w:ascii="Times New Roman" w:eastAsia="Times New Roman" w:hAnsi="Times New Roman" w:cs="Times New Roman"/>
          <w:color w:val="333333"/>
          <w:sz w:val="28"/>
          <w:szCs w:val="28"/>
          <w:lang w:eastAsia="ru-RU"/>
        </w:rPr>
        <w:t>перспективные направления в сфере государственно-частного партнерства в строительстве;</w:t>
      </w:r>
    </w:p>
    <w:p w:rsidR="00214483" w:rsidRPr="009B4083" w:rsidRDefault="006D3182" w:rsidP="009B4083">
      <w:pPr>
        <w:numPr>
          <w:ilvl w:val="0"/>
          <w:numId w:val="1"/>
        </w:numPr>
        <w:spacing w:after="0" w:line="360" w:lineRule="auto"/>
        <w:ind w:left="0" w:firstLine="709"/>
        <w:contextualSpacing/>
        <w:jc w:val="both"/>
        <w:rPr>
          <w:rFonts w:ascii="Times New Roman" w:eastAsia="Times New Roman" w:hAnsi="Times New Roman" w:cs="Times New Roman"/>
          <w:color w:val="333333"/>
          <w:sz w:val="28"/>
          <w:szCs w:val="28"/>
          <w:lang w:eastAsia="ru-RU"/>
        </w:rPr>
      </w:pPr>
      <w:r w:rsidRPr="009B4083">
        <w:rPr>
          <w:rFonts w:ascii="Times New Roman" w:eastAsia="Times New Roman" w:hAnsi="Times New Roman" w:cs="Times New Roman"/>
          <w:color w:val="333333"/>
          <w:sz w:val="28"/>
          <w:szCs w:val="28"/>
          <w:lang w:eastAsia="ru-RU"/>
        </w:rPr>
        <w:t xml:space="preserve">развитие навыков представлять результаты проведенного исследования научному сообществу в виде статьи или доклада. </w:t>
      </w:r>
    </w:p>
    <w:p w:rsidR="009B4083" w:rsidRPr="009B4083" w:rsidRDefault="00BD6E95" w:rsidP="009B4083">
      <w:pPr>
        <w:spacing w:after="0" w:line="360" w:lineRule="auto"/>
        <w:ind w:firstLine="708"/>
        <w:jc w:val="both"/>
        <w:rPr>
          <w:rFonts w:ascii="Times New Roman" w:hAnsi="Times New Roman" w:cs="Times New Roman"/>
          <w:color w:val="383838"/>
          <w:sz w:val="28"/>
          <w:szCs w:val="28"/>
          <w:shd w:val="clear" w:color="auto" w:fill="FFFFFF"/>
        </w:rPr>
      </w:pPr>
      <w:r w:rsidRPr="009B4083">
        <w:rPr>
          <w:rFonts w:ascii="Times New Roman" w:hAnsi="Times New Roman" w:cs="Times New Roman"/>
          <w:sz w:val="28"/>
          <w:szCs w:val="28"/>
        </w:rPr>
        <w:t xml:space="preserve">Актуальность моей темы: ««Анализ теоретических вопросов в сфере государственно-частного партнерства в строительстве и выявление особенностей реализации государственно-частного партнерства в транспортном строительстве в России и за рубежом»  </w:t>
      </w:r>
      <w:r w:rsidRPr="009B4083">
        <w:rPr>
          <w:rFonts w:ascii="Times New Roman" w:hAnsi="Times New Roman" w:cs="Times New Roman"/>
          <w:color w:val="383838"/>
          <w:sz w:val="28"/>
          <w:szCs w:val="28"/>
          <w:shd w:val="clear" w:color="auto" w:fill="FFFFFF"/>
        </w:rPr>
        <w:t>определяется значением государственно-частного партнерства (далее – ГЧП) в экономике страны</w:t>
      </w:r>
      <w:r w:rsidR="009B4083" w:rsidRPr="009B4083">
        <w:rPr>
          <w:rFonts w:ascii="Times New Roman" w:hAnsi="Times New Roman" w:cs="Times New Roman"/>
          <w:color w:val="383838"/>
          <w:sz w:val="28"/>
          <w:szCs w:val="28"/>
          <w:shd w:val="clear" w:color="auto" w:fill="FFFFFF"/>
        </w:rPr>
        <w:t>.</w:t>
      </w:r>
    </w:p>
    <w:p w:rsidR="009B4083" w:rsidRPr="009B4083" w:rsidRDefault="00BD6E95" w:rsidP="009B4083">
      <w:pPr>
        <w:spacing w:after="0" w:line="360" w:lineRule="auto"/>
        <w:ind w:firstLine="708"/>
        <w:jc w:val="both"/>
        <w:rPr>
          <w:rFonts w:ascii="Times New Roman" w:hAnsi="Times New Roman" w:cs="Times New Roman"/>
          <w:color w:val="383838"/>
          <w:sz w:val="28"/>
          <w:szCs w:val="28"/>
          <w:shd w:val="clear" w:color="auto" w:fill="FFFFFF"/>
        </w:rPr>
      </w:pPr>
      <w:r w:rsidRPr="009B4083">
        <w:rPr>
          <w:rFonts w:ascii="Times New Roman" w:hAnsi="Times New Roman" w:cs="Times New Roman"/>
          <w:color w:val="383838"/>
          <w:sz w:val="28"/>
          <w:szCs w:val="28"/>
          <w:shd w:val="clear" w:color="auto" w:fill="FFFFFF"/>
        </w:rPr>
        <w:t xml:space="preserve">ГЧП позволяет осуществлять общественно значимые проекты, сосредоточивая большой объем ресурсов в регионе, со справедливым распределением рисков между публичным и частным партнерами. Публичный партнер (государство в лице его федеральных, региональных и муниципальных органов) заинтересован в привлечении индивидуальных предпринимателей, российских и отечественных юридических лиц для реализации инфраструктурных проектов в рамках ГЧП: по расчетам Всемирного банка 10% увеличение финансовых вложений в инфраструктуру обеспечивает 1% рост экономики. Поэтому развитие института ГЧП законодательно закреплено как один из механизмов реализации Концепции долгосрочного социально-экономического развития России до 2020 г.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Неразвитость инфраструктуры препятствует экономическому развитию страны, негативно влияет на качество оказываемых населению услуг, снижает темпы роста предпринимательской активности. Согласно проведенным исследованиям, рост инвестиций в инфраструктуру оказывает </w:t>
      </w:r>
      <w:r w:rsidRPr="009B4083">
        <w:rPr>
          <w:rFonts w:ascii="Times New Roman" w:hAnsi="Times New Roman" w:cs="Times New Roman"/>
          <w:sz w:val="28"/>
          <w:szCs w:val="28"/>
        </w:rPr>
        <w:lastRenderedPageBreak/>
        <w:t xml:space="preserve">наибольшее влияние на благосостояние бедных слоев населения, чей уровень доходов с улучшением инфраструктурной обеспеченности увеличивается быстрее, чем растут общие доходы населения. Большинство стран мира, не зависимо от уровня развитости их экономик, стараются реализовывать инфраструктурные проекты с привлечением внебюджетных средств и частных инвесторов, что значительно снижает нагрузку на бюджет и повышает качество и эффективность эксплуатации инфраструктурных объектов. Государственно-частное партнерство (ГЧП) является одним из наиболее распространенных инструментов привлечения частных инвестиций в инфраструктурные проекты. Государственно-частное партнерство не является универсальным решением всех проблем развития инфраструктуры в стране, однако механизмы ГЧП в ряде случаев способны значительно повысить эффективность государственных расходов и качество предоставляемых населению услуг. </w:t>
      </w:r>
    </w:p>
    <w:p w:rsidR="009B4083" w:rsidRPr="009B4083" w:rsidRDefault="009B4083" w:rsidP="009B4083">
      <w:pPr>
        <w:spacing w:after="0" w:line="360" w:lineRule="auto"/>
        <w:ind w:firstLine="708"/>
        <w:jc w:val="both"/>
        <w:rPr>
          <w:rFonts w:ascii="Times New Roman" w:eastAsia="Times New Roman" w:hAnsi="Times New Roman" w:cs="Times New Roman"/>
          <w:color w:val="000000"/>
          <w:sz w:val="28"/>
          <w:szCs w:val="28"/>
          <w:lang w:eastAsia="ru-RU"/>
        </w:rPr>
      </w:pPr>
      <w:r w:rsidRPr="009B4083">
        <w:rPr>
          <w:rFonts w:ascii="Times New Roman" w:eastAsia="Times New Roman" w:hAnsi="Times New Roman" w:cs="Times New Roman"/>
          <w:color w:val="333333"/>
          <w:sz w:val="28"/>
          <w:szCs w:val="28"/>
          <w:lang w:eastAsia="ru-RU"/>
        </w:rPr>
        <w:t>Целью написания работы является</w:t>
      </w:r>
      <w:r w:rsidRPr="009B4083">
        <w:rPr>
          <w:rFonts w:ascii="Times New Roman" w:hAnsi="Times New Roman" w:cs="Times New Roman"/>
          <w:sz w:val="28"/>
          <w:szCs w:val="28"/>
        </w:rPr>
        <w:t xml:space="preserve"> </w:t>
      </w:r>
      <w:r w:rsidRPr="009B4083">
        <w:rPr>
          <w:rFonts w:ascii="Times New Roman" w:eastAsia="Times New Roman" w:hAnsi="Times New Roman" w:cs="Times New Roman"/>
          <w:color w:val="333333"/>
          <w:sz w:val="28"/>
          <w:szCs w:val="28"/>
          <w:lang w:eastAsia="ru-RU"/>
        </w:rPr>
        <w:t>выявление особенности реализации государственно-частного партнерства в транспортном строительстве в России и за рубежом</w:t>
      </w:r>
      <w:r w:rsidRPr="009B4083">
        <w:rPr>
          <w:rFonts w:ascii="Times New Roman" w:hAnsi="Times New Roman" w:cs="Times New Roman"/>
          <w:sz w:val="28"/>
          <w:szCs w:val="28"/>
        </w:rPr>
        <w:t xml:space="preserve">.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color w:val="000000"/>
          <w:sz w:val="28"/>
          <w:szCs w:val="28"/>
        </w:rPr>
        <w:t>Для достижения поставленной цели в работе сформулированы следующие задачи:</w:t>
      </w:r>
      <w:r w:rsidRPr="009B4083">
        <w:rPr>
          <w:rFonts w:ascii="Times New Roman" w:hAnsi="Times New Roman" w:cs="Times New Roman"/>
          <w:sz w:val="28"/>
          <w:szCs w:val="28"/>
        </w:rPr>
        <w:t xml:space="preserve">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изучить теоретические  материалы по теме ГЧП;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проанализировать  и систематизировать информацию о ГЧП в строительстве, </w:t>
      </w:r>
    </w:p>
    <w:p w:rsidR="009B4083" w:rsidRPr="009B4083" w:rsidRDefault="009B4083" w:rsidP="009B4083">
      <w:pPr>
        <w:spacing w:after="0" w:line="360" w:lineRule="auto"/>
        <w:ind w:firstLine="708"/>
        <w:jc w:val="both"/>
        <w:rPr>
          <w:rFonts w:ascii="Times New Roman" w:hAnsi="Times New Roman" w:cs="Times New Roman"/>
          <w:sz w:val="28"/>
          <w:szCs w:val="28"/>
        </w:rPr>
      </w:pPr>
      <w:r w:rsidRPr="009B4083">
        <w:rPr>
          <w:rFonts w:ascii="Times New Roman" w:hAnsi="Times New Roman" w:cs="Times New Roman"/>
          <w:sz w:val="28"/>
          <w:szCs w:val="28"/>
        </w:rPr>
        <w:t xml:space="preserve"> - выявить особенности реализации государственно-частного партнерства в транспортном строительстве в России и за рубежом проблемы, препятствующие развитию ГЧП в России.</w:t>
      </w:r>
    </w:p>
    <w:p w:rsidR="009B4083" w:rsidRPr="009B4083" w:rsidRDefault="009B4083" w:rsidP="009B4083">
      <w:pPr>
        <w:spacing w:after="0" w:line="360" w:lineRule="auto"/>
        <w:ind w:firstLine="708"/>
        <w:jc w:val="both"/>
        <w:rPr>
          <w:rFonts w:ascii="Times New Roman" w:hAnsi="Times New Roman" w:cs="Times New Roman"/>
          <w:color w:val="000000"/>
          <w:sz w:val="28"/>
          <w:szCs w:val="28"/>
        </w:rPr>
      </w:pPr>
      <w:r w:rsidRPr="009B4083">
        <w:rPr>
          <w:rFonts w:ascii="Times New Roman" w:hAnsi="Times New Roman" w:cs="Times New Roman"/>
          <w:sz w:val="28"/>
          <w:szCs w:val="28"/>
        </w:rPr>
        <w:t>При решении поставленных задач будут использоваться следующие модели и методы: методы эмпирического исследование, такие как сравнение и описание; методы теоретического познания – анализ, классификация; общелогические методы и приёмы исследования – моделирование, аналогия, системный подход.</w:t>
      </w:r>
      <w:r w:rsidRPr="009B4083">
        <w:rPr>
          <w:rFonts w:ascii="Times New Roman" w:hAnsi="Times New Roman" w:cs="Times New Roman"/>
          <w:color w:val="000000"/>
          <w:sz w:val="28"/>
          <w:szCs w:val="28"/>
        </w:rPr>
        <w:t xml:space="preserve">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lastRenderedPageBreak/>
        <w:t xml:space="preserve">1 Теоретические основы государственно-частного партнерства в России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1.1 Понятие, структура и основы госу</w:t>
      </w:r>
      <w:r>
        <w:rPr>
          <w:rFonts w:ascii="Times New Roman" w:hAnsi="Times New Roman" w:cs="Times New Roman"/>
          <w:sz w:val="28"/>
          <w:szCs w:val="28"/>
        </w:rPr>
        <w:t>дарственно-частного партнерства</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Государство и власть – сложные и многоплановые явления, которые и в сознание, и в жизни людей, общества отражаются различными гранями и аспектами в зависимости от той роли, которую они играют. С течением времени роль государства и его властных полномочий постоянно увеличивалась по мере развития общества, дифференциации социальных связей и появления разных видов деятельности и производства, возникновения нематериального производства, специализации функций и разделения труда, совершенствования знаний и навыков, возникновения различий общественного и индивидуального интересов, прав и обязанностей, а также социального неравенства и частной собственности. Собственность всегда была краеугольным камнем отношений внутри государства. Как разделять сферу функционирования государства и личный интерес? Власть государства и власть собственника? Что должно делать государство, а что владельцы частного капитала? В разные времена на эти вопросы давались разные ответы. С увеличением доли частной собственности возрастает и её роль в функционировании государства и всех его институтов. Осознание этой роли привело к возникновению уже в двадцатом веке концепта государственно-частного партнёрства. Как известно, государство предоставляет общественно значимые блага и услуги. Часть этих благ оно может производить с помощью собственных средств, ресурсов и полномочий, а остальное, путем привлечения возможностей, знаний и способностей владельцев частного капитала. Бизнес как бы приглашается в управление государственными активами для повышения качества реализации государственных проектов. 6 Если исходить из широкого понимания государственно-частного партнерства как конструктивного взаимодействия власти и бизнеса не только в экономике, но и других сферах общественной </w:t>
      </w:r>
      <w:r w:rsidRPr="00265401">
        <w:rPr>
          <w:rFonts w:ascii="Times New Roman" w:hAnsi="Times New Roman" w:cs="Times New Roman"/>
          <w:sz w:val="28"/>
          <w:szCs w:val="28"/>
        </w:rPr>
        <w:lastRenderedPageBreak/>
        <w:t xml:space="preserve">жизни – политике, культуре, науке, здравоохранении и других областях деятельности, то в этом случае можно согласиться с принятым за рубежом понятием ГЧП как любых форм партнерства государства и предпринимательского корпуса. При этом передача полномочий органов власти и управления не ограничивается лишь правами собственности, а включает в себя и делегирование некоторых функций принятия решений в ходе экспертиз, консультаций и совместной разработки нормативно-правовых актов, проектов и целевых программ [1]. В российском законодательстве ГЧП определяется как – юридически оформленное на определенный срок и основанное на объединении ресурсов, распределении рисков сотрудничество публичного партнера, с одной стороны, и частного партнера, с другой стороны, которое осуществляется на основании соглашения о государственно-частном партнерстве, заключенном в соответствии с федеральным законом в целях привлечения в экономику частных инвестиций, обеспечения органами государственной власти доступности товаров, работ, услуг и повышения их качества. Таким образом, ГЧП представляет собой взаимовыгодное сотрудничество между государством и бизнесом, которое реализуется в различных формах (начиная от контрактов на выполнение работ, акционирования и заканчивая консультациями государства и бизнес-ассоциаций) и которое ставит своей целью решение политических, экономических и общественно значимых задач на национальном, региональном и местном уровнях. Поэтому сущность проектов ГЧП заключается в передаче некоторых прав и функций общественного сектора по строительству, реконструкции, модернизации, обслуживанию и эксплуатации объектов инфраструктуры частному сектору. Объектом ГЧП могут быть любые функции публичного сектора (например, публичные, общественные или государственные услуги), выполнение которых закрепляется за частной стороной. 7 ГЧП интегрирует два рода деятельности: инвестиции в объекты инфраструктуры и оказание услуг с помощью данных объектов либо их эксплуатации. В связи с этим в проектах </w:t>
      </w:r>
      <w:r w:rsidRPr="00265401">
        <w:rPr>
          <w:rFonts w:ascii="Times New Roman" w:hAnsi="Times New Roman" w:cs="Times New Roman"/>
          <w:sz w:val="28"/>
          <w:szCs w:val="28"/>
        </w:rPr>
        <w:lastRenderedPageBreak/>
        <w:t xml:space="preserve">ГЧП выделяются два этапа: - «затратный этап», в течение которого частная и публичная стороны инвестируют денежные средства в объекты инфраструктуры (и иные объекты, которые связанны с функционированием общественного сектора); - «доходный этап», в течение которого осуществляется оказание услуг при помощи данных объектов инфраструктуры и возврат инвестиций. Наличие «доходного этапа» является основным отличием проектов ГЧП от государственного заказа. При этом, источником доходов по проекту ГЧП может быть, как выручка от оказания услуг частным лицам, так и платежи из бюджета. ГЧП имеет долгосрочный характер. Долгосрочный характер реализации проектов ГЧП вытекает из необходимости возврата денежных средств, вложенных бизнесом (в отличие от государственного заказа). Средний срок реализации проектов ГЧП составляет более 10 лет: при этом самым продолжительным является «доходный этап», в то время как «затратный» сравним по срокам с государственным заказом. Государственно-частное партнерство в России, в соответствии с законодательством, основано на следующих принципах [6]: - открытость и доступность информации о государственно-частном партнерстве, за исключением сведений, составляющих государственную тайну и иную охраняемую законом тайну; - обеспечение конкуренции; - отсутствие дискриминации, равноправие сторон соглашения и равенство их перед законом; - добросовестное исполнение сторонами соглашения обязательств по соглашению; - справедливое распределение рисков и обязательств между сторонами соглашения; 8 - свобода заключения соглашения. Разделение рисков является обязательным условием в отношениях ГЧП. Но поиск оптимального распределения рисков, которые зависят от специфики проекта ГЧП (отрасль, тип соглашения, условия финансирования и иное) представляет большую сложность. Общее правило гласит – каждый риск по проекту несет та сторона, которая способна наилучшим образом им управлять. Сложность в осуществлении этого правила заключается в том, что, с одной стороны, бизнес стремится </w:t>
      </w:r>
      <w:r w:rsidRPr="00265401">
        <w:rPr>
          <w:rFonts w:ascii="Times New Roman" w:hAnsi="Times New Roman" w:cs="Times New Roman"/>
          <w:sz w:val="28"/>
          <w:szCs w:val="28"/>
        </w:rPr>
        <w:lastRenderedPageBreak/>
        <w:t xml:space="preserve">максимизировать доход и поэтому склонен недооценивать риски проекта; с другой стороны, публичный орган стремится снизить ответственность и поэтому будет завышать риски, передаваемые частному партнеру (обратная зависимость). Необходимость поиска оптимального распределения рисков увеличивает значение предпроектной подготовки проекта ГЧП по сравнению с государственным заказом. Каждая из сторон проекта вносит свой вклад в развитие общего проекта. Например, бизнес обеспечивает финансовые ресурсы, профессиональный опыт, гибкость, оперативную адаптацию и быстроту в принятии решений, проявляет эффективное управление, новаторские способности. При этом внедряются новые технологии в производство и способы управления при реализации проектов, также налаживаются выгодные связи с поставщиками и подрядчиками, что повышает спрос высококвалифицированных кадров на рынке труда. ГЧП предполагает выполнение частным партнером двух и более из следующих функций: проектирование; финансирование; строительство; реконструкция; модернизация; эксплуатация; техническое обслуживание. Частный партнер также вправе выполнять другие функции, связанные с деятельностью, предусмотренной соглашением о государственно-частном партнерстве. Государство же обеспечивает правомочия собственности, предоставляет всевозможные гарантии и льготы, и, конечно, финансовые ресурсы. При ГЧП 9 государство развивает свои основные функции такие как контроль, регулирование, соблюдение общественных интересов. Что касается заинтересованности каждого из участников проекта в ГЧП, то интерес бизнеса обусловлен стремлением к максимизации прибыли от реализации проектов, т.к. обладая производственной и хозяйственной свободой в проекте, предоставляемой государством, частный сектор стремится к увеличению производительности труда и эффективным нововведениям. Также бизнес, при неудачном стечении обстоятельств или воздействии неблагоприятных внешних факторов при реализации проекта, получает достаточные гарантии возврата вложенных средств в проект, т.к. государство </w:t>
      </w:r>
      <w:r w:rsidRPr="00265401">
        <w:rPr>
          <w:rFonts w:ascii="Times New Roman" w:hAnsi="Times New Roman" w:cs="Times New Roman"/>
          <w:sz w:val="28"/>
          <w:szCs w:val="28"/>
        </w:rPr>
        <w:lastRenderedPageBreak/>
        <w:t xml:space="preserve">обязано нести определенные риски (согласно договоренностям сторон). В некоторых случаях, при высококачественном обслуживании или опережении сроков государство доплачивает своему партнеру. И последнее, частный сектор получает в долговременное управление и пользование активы государства на льготных условиях платы. Заинтересованность же государства состоит в том, что оно может переложить часть расходов по содержанию и инвестированию имущества, а также некоторые функции на бизнес-партнера. Так же, за счет арендных и концессионных платежей, государственные структуры и органы получают дополнительный источник доходов в бюджет. Несмотря на все выгоды для государства и бизнеса, главной целью ГЧП является улучшение благосостояния населения. В число положительных сторон государственно-частного партнерства относится повышение качества товаров и предоставляемых услуг, а также решаются социальные и экономические проблемы. И теперь уже высвобожденные средства государство может расходовать на решение других более значимых задач, достижение социально важных целей и выполнение своих первоочередных функций. 10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1.2 Организационно-правовые формы и принципы государственногочастного партнерства в России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Государственно-частное партнерство является одним из способов развития общественной инфраструктуры, основанный на долгосрочном взаимодействии государства и бизнеса, при котором частная сторона (бизнес) участвует не только в создании (проектировании, финансировании, строительстве/реконструкции) объекта инфраструктуры, но и в его последующей эксплуатации и/или техническом обслуживании в интересах публичной стороны [4]. То есть ГЧП позволяет публичному партнеру полностью или частично переложить на частного партнера обязательства по финансированию создания объекта инфраструктуры, разделить или полностью передать частному партнеру риски удорожания строительства, </w:t>
      </w:r>
      <w:r w:rsidRPr="00265401">
        <w:rPr>
          <w:rFonts w:ascii="Times New Roman" w:hAnsi="Times New Roman" w:cs="Times New Roman"/>
          <w:sz w:val="28"/>
          <w:szCs w:val="28"/>
        </w:rPr>
        <w:lastRenderedPageBreak/>
        <w:t xml:space="preserve">качества проведенных строительных работ, несоблюдения сроков ввода объекта в эксплуатацию, качества технического обслуживания, риски выручки и прочее. В Российской Федерации законодательство о ГЧП на федеральном уровне состоит из: федерального закона от 13.07.2015 №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(далее – закон о ГЧП) [6] и федерального закона от 21.07.2005 № 115-ФЗ «О концессионных соглашениях» (далее – закон о концессионных соглашениях) [7]. Основным критериям ГЧП, приведенным в вышеуказанном определении, соответствует также и концессионная форма реализации инфраструктурных проектов, однако с юридической точки зрения соглашения о ГЧП и концессионные соглашения являются самостоятельными правовыми институтами, рассмотрение, заключение и реализация которых регулируются отдельными законами, но обычно концессионные соглашения рассматриваются как одна из организационно-правовых форм ГЧП. 11 Независимо от организационно-правовой формы ГЧП должно удовлетворять следующим обязательным критериям: долгосрочный характер партнерства (более 3 лет); распределение рисков и ответственности между партнерами за счет привлечения частного партнера не только к созданию объекта, но и к его последующей эксплуатации и/или техническому обслуживанию; полное или частичное финансирование создания объекта общественной инфраструктуры частным партнером [10]. В среднем по статистике концессионные соглашения в России заключаются на срок 13,1 года, соглашения о ГЧП, МЧП не могут быть заключены на срок менее 3 лет [13]. Долгосрочный характер проектов ГЧП следует из необходимости возврата вложенных частных инвестиций и комплексности таких проектов. В связи с долгосрочным характером партнерства и необходимостью формализации всех существенных условий на инвестиционном и эксплуатационном этапах сложность договорных отношений для проектов ГЧП выше, чем для государственного заказа или </w:t>
      </w:r>
      <w:r w:rsidRPr="00265401">
        <w:rPr>
          <w:rFonts w:ascii="Times New Roman" w:hAnsi="Times New Roman" w:cs="Times New Roman"/>
          <w:sz w:val="28"/>
          <w:szCs w:val="28"/>
        </w:rPr>
        <w:lastRenderedPageBreak/>
        <w:t xml:space="preserve">иных видов правоотношений государства и бизнеса. Это приводит к более высокой стоимости подготовительных, предпроектных работ по проектам ГЧП и занимает значительно больше времени на этапе согласования между публичным и частным партнером. Риски в инфраструктурных проектах – это вероятные изменения показателей проекта, влияющие на доходы и расходы сторон по проекту. Основным отличием ГЧП от государственного заказа является обязательное финансирование создания объекта частным партнером/концессионером, при этом публичный партнер/концедент вправе компенсировать часть затрат, понесенных на создание объекта соглашения, а также осуществлять полное или частичное финансирование затрат, связанных с эксплуатацией и/или техническим обслуживанием объекта соглашения. Исходя из рассмотренных обязательных признаков государственночастного партнерства можно выделить следующие основные преимущества применения механизмов ГЧП для публичного сектора и инвестора, которые представлены в таблице 1. </w:t>
      </w:r>
    </w:p>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Таблица 1 –Преимущества ГЧП для публичного сектора </w:t>
      </w:r>
    </w:p>
    <w:p w:rsidR="00265401" w:rsidRDefault="00265401" w:rsidP="00602BC6">
      <w:pPr>
        <w:spacing w:line="360" w:lineRule="auto"/>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4785"/>
        <w:gridCol w:w="4786"/>
      </w:tblGrid>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Преимущества проектов государственно-частного партнерства</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Преимущества ГЧП для инвестора</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привлечь частного инвестора к финансированию создания объекта позволяет реализовывать инфраструктурные проекты даже в условиях отсутствия бюджетных средств, по сути, «в рассрочку» без увеличения долговой нагрузки</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переложить часть рисков выручки на публичного партнера (применение: минимальной гарантии доходности, платы за доступность и других механизмов гарантии возвратности)</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Возможность объединения в рамках </w:t>
            </w:r>
            <w:r w:rsidRPr="00265401">
              <w:rPr>
                <w:rFonts w:ascii="Times New Roman" w:hAnsi="Times New Roman" w:cs="Times New Roman"/>
                <w:sz w:val="28"/>
                <w:szCs w:val="28"/>
              </w:rPr>
              <w:lastRenderedPageBreak/>
              <w:t>одного проекта различных этапов (проектирование, строительство и эксплуатация) позволяет повысить качество создаваемого объекта и снизить риски завышения стоимости строительства и эксплуатации</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lastRenderedPageBreak/>
              <w:t xml:space="preserve">Возможность инвестировать в </w:t>
            </w:r>
            <w:r w:rsidRPr="00265401">
              <w:rPr>
                <w:rFonts w:ascii="Times New Roman" w:hAnsi="Times New Roman" w:cs="Times New Roman"/>
                <w:sz w:val="28"/>
                <w:szCs w:val="28"/>
              </w:rPr>
              <w:lastRenderedPageBreak/>
              <w:t>долгосрочный проект с фиксированной доходностью под гарантии или обязательства государства</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lastRenderedPageBreak/>
              <w:t>Возможность приобретать не объект, а услугу с выплатами, привязанными к объему и качеству ее оказания, что также способствует развитию конкуренции на рынке социально значимых услуг</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Возможность увеличивать свою выручку по проекту за счет оказания дополнительных платных услуг и/или применения различных решений, снижающих затраты</w:t>
            </w:r>
          </w:p>
        </w:tc>
      </w:tr>
    </w:tbl>
    <w:p w:rsidR="00265401" w:rsidRDefault="00265401" w:rsidP="00602BC6">
      <w:pPr>
        <w:spacing w:line="360" w:lineRule="auto"/>
        <w:jc w:val="both"/>
        <w:rPr>
          <w:rFonts w:ascii="Times New Roman" w:hAnsi="Times New Roman" w:cs="Times New Roman"/>
          <w:sz w:val="28"/>
          <w:szCs w:val="28"/>
        </w:rPr>
      </w:pP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Реализовать инфраструктурный проект в Российской Федерации можно различными способами на разных уровнях, с различными правами и обязанностями субъектов, разной продолжительностью и рисками государственно-частного партнерства. В связи с этим рекомендуется использовать следующую классификацию форм реализации инфраструктурных проектов с государственным или муниципальным участием, которая представлена в таблице 2, и которая включает в себя концессионное соглашение, соглашение о государственно-частном партнерстве, муниципально-частном партнерстве, контракт жизненного цикла, договор аренды государственного имущества с инвестиционными обязательствами и долгосрочный договор на поставку товаров, работ, услуг с инвестиционными обязательствами исполнителя. Каждая из приведенных форм имеет правовое регулирование в виде федеральных и/или региональны</w:t>
      </w:r>
      <w:r>
        <w:rPr>
          <w:rFonts w:ascii="Times New Roman" w:hAnsi="Times New Roman" w:cs="Times New Roman"/>
          <w:sz w:val="28"/>
          <w:szCs w:val="28"/>
        </w:rPr>
        <w:t xml:space="preserve">х нормативно-правовых актов. </w:t>
      </w:r>
    </w:p>
    <w:p w:rsidR="00265401"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Таблица 2 – Формы государственно-частного партнерства </w:t>
      </w:r>
    </w:p>
    <w:p w:rsidR="00265401" w:rsidRDefault="00265401" w:rsidP="00602BC6">
      <w:pPr>
        <w:spacing w:line="360" w:lineRule="auto"/>
        <w:ind w:firstLine="708"/>
        <w:jc w:val="both"/>
        <w:rPr>
          <w:rFonts w:ascii="Times New Roman" w:hAnsi="Times New Roman" w:cs="Times New Roman"/>
          <w:sz w:val="28"/>
          <w:szCs w:val="28"/>
        </w:rPr>
      </w:pPr>
    </w:p>
    <w:tbl>
      <w:tblPr>
        <w:tblStyle w:val="a4"/>
        <w:tblW w:w="0" w:type="auto"/>
        <w:tblLook w:val="04A0" w:firstRow="1" w:lastRow="0" w:firstColumn="1" w:lastColumn="0" w:noHBand="0" w:noVBand="1"/>
      </w:tblPr>
      <w:tblGrid>
        <w:gridCol w:w="4785"/>
        <w:gridCol w:w="4786"/>
      </w:tblGrid>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Организационно-правовые формы</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Правовое регулирование</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Формы государственно-частного партнерства (согласно нормативному определению)</w:t>
            </w:r>
          </w:p>
        </w:tc>
        <w:tc>
          <w:tcPr>
            <w:tcW w:w="4786" w:type="dxa"/>
          </w:tcPr>
          <w:p w:rsidR="00265401" w:rsidRDefault="00265401" w:rsidP="00602BC6">
            <w:pPr>
              <w:spacing w:line="360" w:lineRule="auto"/>
              <w:jc w:val="both"/>
              <w:rPr>
                <w:rFonts w:ascii="Times New Roman" w:hAnsi="Times New Roman" w:cs="Times New Roman"/>
                <w:sz w:val="28"/>
                <w:szCs w:val="28"/>
              </w:rPr>
            </w:pP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Концессионное соглашение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115-ФЗ «О концессионных соглашениях»</w:t>
            </w:r>
          </w:p>
        </w:tc>
      </w:tr>
      <w:tr w:rsidR="00265401" w:rsidTr="00265401">
        <w:tc>
          <w:tcPr>
            <w:tcW w:w="4785"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Соглашение о государственно</w:t>
            </w:r>
            <w:r>
              <w:rPr>
                <w:rFonts w:ascii="Times New Roman" w:hAnsi="Times New Roman" w:cs="Times New Roman"/>
                <w:sz w:val="28"/>
                <w:szCs w:val="28"/>
              </w:rPr>
              <w:t>-</w:t>
            </w:r>
            <w:r w:rsidRPr="00265401">
              <w:rPr>
                <w:rFonts w:ascii="Times New Roman" w:hAnsi="Times New Roman" w:cs="Times New Roman"/>
                <w:sz w:val="28"/>
                <w:szCs w:val="28"/>
              </w:rPr>
              <w:t xml:space="preserve">частном партнерстве, муниципально-частном партнерстве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224-ФЗ «О государственно-частном партнерстве, муниципально-частном партнерстве» (до 01.01.2016 в рамках регионального законодательства)</w:t>
            </w:r>
          </w:p>
        </w:tc>
      </w:tr>
      <w:tr w:rsidR="00272FD9" w:rsidTr="00265401">
        <w:tc>
          <w:tcPr>
            <w:tcW w:w="4785" w:type="dxa"/>
          </w:tcPr>
          <w:p w:rsidR="00272FD9" w:rsidRP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Иные договорные формы привлечения внебюджетных средств в развитие общественной инфраструктуры</w:t>
            </w:r>
          </w:p>
        </w:tc>
        <w:tc>
          <w:tcPr>
            <w:tcW w:w="4786" w:type="dxa"/>
          </w:tcPr>
          <w:p w:rsidR="00272FD9" w:rsidRPr="00265401" w:rsidRDefault="00272FD9" w:rsidP="00602BC6">
            <w:pPr>
              <w:spacing w:line="360" w:lineRule="auto"/>
              <w:jc w:val="both"/>
              <w:rPr>
                <w:rFonts w:ascii="Times New Roman" w:hAnsi="Times New Roman" w:cs="Times New Roman"/>
                <w:sz w:val="28"/>
                <w:szCs w:val="28"/>
              </w:rPr>
            </w:pP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Контракт жизненного цикла </w:t>
            </w:r>
          </w:p>
        </w:tc>
        <w:tc>
          <w:tcPr>
            <w:tcW w:w="4786"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44-ФЗ «О контрактной системе в сфере закупок товаров, работ, услуг»</w:t>
            </w:r>
          </w:p>
        </w:tc>
      </w:tr>
      <w:tr w:rsidR="00265401" w:rsidTr="00265401">
        <w:tc>
          <w:tcPr>
            <w:tcW w:w="4785" w:type="dxa"/>
          </w:tcPr>
          <w:p w:rsidR="00265401" w:rsidRDefault="00265401"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Договор аренды государственного имущества с инвестиционными обязательствами арендатора </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 xml:space="preserve">Гражданский кодекс РФ, федеральный закон №135-ФЗ «О защите конкуренции», региональные правовые акты </w:t>
            </w:r>
          </w:p>
        </w:tc>
      </w:tr>
      <w:tr w:rsidR="00265401" w:rsidTr="00265401">
        <w:tc>
          <w:tcPr>
            <w:tcW w:w="4785"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Долгосрочный договор на поставку товаров, работ, услуг с инвестиционными обязательствами исполнителя</w:t>
            </w:r>
          </w:p>
        </w:tc>
        <w:tc>
          <w:tcPr>
            <w:tcW w:w="4786" w:type="dxa"/>
          </w:tcPr>
          <w:p w:rsidR="00265401" w:rsidRDefault="00272FD9" w:rsidP="00602BC6">
            <w:pPr>
              <w:spacing w:line="360" w:lineRule="auto"/>
              <w:jc w:val="both"/>
              <w:rPr>
                <w:rFonts w:ascii="Times New Roman" w:hAnsi="Times New Roman" w:cs="Times New Roman"/>
                <w:sz w:val="28"/>
                <w:szCs w:val="28"/>
              </w:rPr>
            </w:pPr>
            <w:r w:rsidRPr="00265401">
              <w:rPr>
                <w:rFonts w:ascii="Times New Roman" w:hAnsi="Times New Roman" w:cs="Times New Roman"/>
                <w:sz w:val="28"/>
                <w:szCs w:val="28"/>
              </w:rPr>
              <w:t>Федеральный закон № 223-ФЗ «О закупках товаров, работ, услуг отдельными видами юридических лиц» и положения о закупках соответствующих юридических лиц</w:t>
            </w:r>
          </w:p>
        </w:tc>
      </w:tr>
    </w:tbl>
    <w:p w:rsidR="00272FD9"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lastRenderedPageBreak/>
        <w:t xml:space="preserve">Таким образом можно заключить, что с учетом многообразия форм государственно-частного партнерства, встречающихся в отечественной практике, возможно построение различных проектов ГЧП в зависимости от выбранных характеристик проекта. </w:t>
      </w:r>
    </w:p>
    <w:p w:rsidR="008E39A8" w:rsidRDefault="00265401" w:rsidP="00602BC6">
      <w:pPr>
        <w:spacing w:line="360" w:lineRule="auto"/>
        <w:ind w:firstLine="708"/>
        <w:jc w:val="both"/>
        <w:rPr>
          <w:rFonts w:ascii="Times New Roman" w:hAnsi="Times New Roman" w:cs="Times New Roman"/>
          <w:sz w:val="28"/>
          <w:szCs w:val="28"/>
        </w:rPr>
      </w:pPr>
      <w:r w:rsidRPr="00265401">
        <w:rPr>
          <w:rFonts w:ascii="Times New Roman" w:hAnsi="Times New Roman" w:cs="Times New Roman"/>
          <w:sz w:val="28"/>
          <w:szCs w:val="28"/>
        </w:rPr>
        <w:t xml:space="preserve">1.3 Возможности и перспективы развития государственно-частного партнерства в России Рассматривать ГЧП вне контекста развития российской экономики и текущих макроэкономических тенденций было бы неправильно. Большинство концессионеров, а с 2016 года и частных партнеров, находится между рынком капитала и политикой отраслевых органов власти: с одной стороны, ожидая комфортных условий для финансирования, а с другой – регуляторной политики, которая позволит сотрудничать с государством на понятных условиях. И этот процесс происходит на фоне общего снижения государственных вложений в инфраструктуру не менее чем на 10% [13] и 14 сокращения доступа к инвестициям за счет введения санкций в отношении ведущих российских финансовых институтов. В связи с этим ГЧП становится одним из инструментов, который позволяет найти баланс интересов частного и публичного партнеров для осуществления инвестиций в общественную инфраструктуру за счет внутренних резервов и обеспечивает пусть и небольшой, но рост российской экономики в текущих условиях. На сегодняшний день необходимо найти точки роста российского рынка проектов ГЧП, которые позволят после стабилизации экономики обеспечить существенное увеличение числа проектов, повышение интереса к российской инфраструктуре зарубежных инвесторов и инфраструктурных компаний, что позволит с течением времени обеспечить следующие благоприятные последствия: - рост производительности труда на созданных объектах инфраструктуры; - развитие конкуренции на инфраструктурном рынке; - расширение доступа к трудовым ресурсам – создание новых рабочих мест; - рост инвестиций к национальному и региональному ВВП; - поступательное развитие территорий и повышение уровня жизни населения за счет высокого </w:t>
      </w:r>
      <w:r w:rsidRPr="00265401">
        <w:rPr>
          <w:rFonts w:ascii="Times New Roman" w:hAnsi="Times New Roman" w:cs="Times New Roman"/>
          <w:sz w:val="28"/>
          <w:szCs w:val="28"/>
        </w:rPr>
        <w:lastRenderedPageBreak/>
        <w:t xml:space="preserve">качества оказываемых услуг на создаваемых объектах инфраструктуры. Существует четыре ключевых направления развития сферы ГЧП, в рамках которых можно выделить точки роста, акцент на которые позволит достичь необходимых результатов по завершению фундамента российского рынка проектов ГЧП в перспективе 2016 и 2017 годов: - системное планирование развития инфраструктуры и стимулирование рынка для применения механизмов ГЧП; - повышение качества и эффективности реализации проектов ГЧП; - обеспечение доступности финансирования для реализации проектов ГЧП; 15 - развитие законодательства в сфере ГЧП и правоприменительной практики реализации проектов ГЧП [11]. В рамках данных направлений предлагается выделить 5 ключевых точек роста. Первое – это расширение инструментов финансирования проектов ГЧП за счет специализированных проектных облигаций негосударственных пенсионных фондов и встраивание в процесс финансирования проектов ГЧП страховых компаний. Этот инструмент активно используется в международной практике – 44% всех инфраструктурных проектов в Европе и Северной Америке финансируется за счет средств пенсионных фондов и страховых компаний. В России за счет пенсионных денег финансируется не более двух десятков проектов, а средства страховых компаний в проектах ГЧП сегодня не участвуют. Обеспечить развитие сферы ГЧП позволит выстраивание регуляторной политики Банка России, направленной на расширение возможных инструментов финансирования проектов ГЧП, перспективный среднесрочной эффект от которой – зарождение нового класса инфраструктурных инвесторов. Вторая точка роста – расширение гарантий инвесторов в проектах ГЧП в том числе по исполнению обязательств публично-правовых образований. Для инвесторов в инфраструктурных проектах одним из основных препятствий для осуществления инвестиций являются недостаточные гарантии возврата вложенных средств. Об этом свидетельствуют данные опроса, согласно которому 68% компаний частного сектора готовы инвестировать в развитие инфраструктуры, но при этом </w:t>
      </w:r>
      <w:r w:rsidRPr="00265401">
        <w:rPr>
          <w:rFonts w:ascii="Times New Roman" w:hAnsi="Times New Roman" w:cs="Times New Roman"/>
          <w:sz w:val="28"/>
          <w:szCs w:val="28"/>
        </w:rPr>
        <w:lastRenderedPageBreak/>
        <w:t xml:space="preserve">рассчитывают на необходимое содействие органов власти в обеспечение минимального уровня доходности. С другой стороны, совокупный уровень государственного долга субъектов РФ превышает 2 трлн руб., что негативно сказывается их инвестиционной привлекательности. Одно из возможных решений – создание специализированного фонда страхования бюджетных обязательств на базе одного из существующих институтов развития, что в перспективе позволит 16 обеспечить стабильность региональных и местных бюджетов для участия в проектах ГЧП. Третья точка – разработка специальных механизмов субсидирования субъектов РФ и муниципальных образований для реализации проектов ГЧП. В России расходование средств бюджета на строительство объектов инфраструктуры традиционно осуществляется в рамках целевых программ или адресных инвестиционных программ. Таким же образом работает механизм софинансирования обязательств региональных и местных бюджетов из бюджета Российской Федерации – за счет федеральных средств стимулируются региональные бюджетные стройки, а не долгосрочные проекты ГЧП с привлечением частных инвестиций. При этом, согласно опросу, 42% респондентов считают, что региональные инфраструктурные проекты должны получать средства из федерального бюджета. Если в ближайшей перспективе будут разработаны порядок и правила субсидирования региональных проектов ГЧП из средств федерального бюджета, это позволит не только запустить ряд отложенных проектов, но и переориентировать планируемые инфраструктурные проекты на рельсы ГЧП. Тем более что прецедент в российской практике уже есть – решение о субсидировании региональных проектов ГЧП за счет средств, собранных с грузовых автомобилей массой свыше 12 тонн. Четвертая точка роста – это разработка отраслевых рекомендаций по запуску и управлению проектами ГЧП и формирование полноценной базы знаний по реализации проектов ГЧП Утверждение, что наступают времена, когда количество проектов должно перерасти в качество, наиболее справедливо для текущего периода времени. Если анализировать портал для размещения официальной </w:t>
      </w:r>
      <w:r w:rsidRPr="00265401">
        <w:rPr>
          <w:rFonts w:ascii="Times New Roman" w:hAnsi="Times New Roman" w:cs="Times New Roman"/>
          <w:sz w:val="28"/>
          <w:szCs w:val="28"/>
        </w:rPr>
        <w:lastRenderedPageBreak/>
        <w:t xml:space="preserve">информации о проведении торгов, то можно констатировать, что в среднем каждую неделю в России объявляется до 20 новых концессионных конкурсов и появляются 3-4 предложения частных компаний о заключении концессионных соглашений в порядке частной инициативы. То есть можно констатировать, что по крайней мере концессионные проекты в муниципальных 17 образованиях поставлены на поток. С вступлением в силу федерального закона о ГЧП такого взрывного роста соглашений о ГЧП или МЧП не произойдет в силу регуляторных ограничений и необходимости проводить оценку эффективности проектов, но тем не менее задача формирования единой базы знаний в сфере ГЧП и подготовки отраслевых методических рекомендаций с заложенным алгоритмом реализации проекта публичным партнером, остается достаточно актуальной. И пятая точка – совершенствование федерального закона о ГЧП и подзаконных актов на основе правоприменительной практики. Вопрос о том, кто же будет первым рискнувшим реализовать проект на основе нового федерального закона о ГЧП, на текущий день остается открытым. Крупные игроки инфраструктурного рынка высказывают опасения, что в ближайшее время закон останется невостребованным инструментом для привлечения частных инвестиций в инфраструктурные проекты, и основным механизмов для этих целей останется концессия. С другой стороны, регулятор готовит уже второй минимальный пакет поправок к федеральному закону о ГЧП – расширение перечня объектов, в отношении которых могут быть заключены соглашения о ГЧП, в том числе на объекты производственной инфраструктуры и арендное жилье. Устойчивый спрос на новую форму реализации проектов ГЧП есть и у регионов – в момент рассмотрения проекта закона одним из основных аргументов было то, что 142 проекта ГЧП регионального уровня не могут быть реализованы без специального регулирования в законодательстве. Таким образом, 2016 год – это, возможно, лучшее время для того, чтобы выработать единую позицию рынка по совершенствованию норм федерального закона о ГЧП для реализации соответствующих проектов </w:t>
      </w:r>
      <w:r w:rsidRPr="00265401">
        <w:rPr>
          <w:rFonts w:ascii="Times New Roman" w:hAnsi="Times New Roman" w:cs="Times New Roman"/>
          <w:sz w:val="28"/>
          <w:szCs w:val="28"/>
        </w:rPr>
        <w:lastRenderedPageBreak/>
        <w:t>на основе конкретных региональных примеров, которые будут инициированы в течение года. Акценты на точках роста рынка проектов ГЧП предполагают, что увеличивается не только общее количество соглашений, но и их качество – «коммерчески закрытые» проекты не должны закрываться в прямом смысле этого слова. Ряд экспертов предполагает, что волна дефолтов концессионеров 18 может существенно подорвать доверие к рынку проектов ГЧП в ближайшей перспективе и это может свести на нет основные действия по развитию законодательной базы, формированию инвестиционно привлекательных условий для реализации проектов ГЧП, подготовке квалифицированных кадров.</w:t>
      </w: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2. ___________________</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222"/>
      </w:tblGrid>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Особенности реализации  государственно-частного партнерства в России и за рубежом;</w:t>
            </w:r>
          </w:p>
        </w:tc>
      </w:tr>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2.1</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Анализ реализации проектов государственно-частного партнерства в России</w:t>
            </w:r>
          </w:p>
        </w:tc>
      </w:tr>
      <w:tr w:rsidR="00B942D2"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2.2</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Анализ реализации проектов государственно-частного партнерства за рубежом</w:t>
            </w:r>
          </w:p>
        </w:tc>
      </w:tr>
      <w:tr w:rsidR="00B942D2" w:rsidRPr="00265401" w:rsidTr="00DE787D">
        <w:tc>
          <w:tcPr>
            <w:tcW w:w="817" w:type="dxa"/>
          </w:tcPr>
          <w:p w:rsidR="00B942D2" w:rsidRPr="00B942D2" w:rsidRDefault="00B942D2" w:rsidP="00DE787D">
            <w:pPr>
              <w:spacing w:line="360" w:lineRule="auto"/>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3</w:t>
            </w:r>
          </w:p>
        </w:tc>
        <w:tc>
          <w:tcPr>
            <w:tcW w:w="8222" w:type="dxa"/>
          </w:tcPr>
          <w:p w:rsidR="00B942D2" w:rsidRPr="00B942D2" w:rsidRDefault="00B942D2" w:rsidP="00DE787D">
            <w:pPr>
              <w:jc w:val="both"/>
              <w:rPr>
                <w:rFonts w:ascii="Times New Roman" w:hAnsi="Times New Roman" w:cs="Times New Roman"/>
                <w:b/>
                <w:sz w:val="32"/>
                <w:szCs w:val="28"/>
                <w:highlight w:val="yellow"/>
              </w:rPr>
            </w:pPr>
            <w:r w:rsidRPr="00B942D2">
              <w:rPr>
                <w:rFonts w:ascii="Times New Roman" w:hAnsi="Times New Roman" w:cs="Times New Roman"/>
                <w:b/>
                <w:sz w:val="32"/>
                <w:szCs w:val="28"/>
                <w:highlight w:val="yellow"/>
              </w:rPr>
              <w:t>Заключение</w:t>
            </w:r>
          </w:p>
        </w:tc>
      </w:tr>
    </w:tbl>
    <w:p w:rsidR="00B942D2" w:rsidRDefault="00B942D2" w:rsidP="00602BC6">
      <w:pPr>
        <w:spacing w:line="360" w:lineRule="auto"/>
        <w:ind w:firstLine="708"/>
        <w:jc w:val="both"/>
        <w:rPr>
          <w:rFonts w:ascii="Times New Roman" w:hAnsi="Times New Roman" w:cs="Times New Roman"/>
          <w:sz w:val="28"/>
          <w:szCs w:val="28"/>
        </w:rPr>
      </w:pPr>
    </w:p>
    <w:p w:rsidR="00B942D2" w:rsidRPr="00C76A7B" w:rsidRDefault="00B942D2" w:rsidP="00B942D2">
      <w:pPr>
        <w:shd w:val="clear" w:color="auto" w:fill="FFFFFF"/>
        <w:spacing w:before="360" w:after="360" w:line="240" w:lineRule="auto"/>
        <w:outlineLvl w:val="0"/>
        <w:rPr>
          <w:rFonts w:ascii="Arial" w:eastAsia="Times New Roman" w:hAnsi="Arial" w:cs="Arial"/>
          <w:b/>
          <w:bCs/>
          <w:color w:val="383838"/>
          <w:kern w:val="36"/>
          <w:sz w:val="38"/>
          <w:szCs w:val="38"/>
          <w:lang w:eastAsia="ru-RU"/>
        </w:rPr>
      </w:pPr>
      <w:r w:rsidRPr="00C76A7B">
        <w:rPr>
          <w:rFonts w:ascii="Arial" w:eastAsia="Times New Roman" w:hAnsi="Arial" w:cs="Arial"/>
          <w:b/>
          <w:bCs/>
          <w:color w:val="383838"/>
          <w:kern w:val="36"/>
          <w:sz w:val="38"/>
          <w:szCs w:val="38"/>
          <w:lang w:eastAsia="ru-RU"/>
        </w:rPr>
        <w:t>Сегодня в России реализуется 173 ГЧП-проекта в сфере транспорта</w:t>
      </w:r>
    </w:p>
    <w:p w:rsidR="00B942D2" w:rsidRPr="00C76A7B" w:rsidRDefault="00B942D2" w:rsidP="00B942D2">
      <w:pPr>
        <w:shd w:val="clear" w:color="auto" w:fill="FFFFFF"/>
        <w:spacing w:after="180" w:line="240" w:lineRule="auto"/>
        <w:rPr>
          <w:rFonts w:ascii="Arial" w:eastAsia="Times New Roman" w:hAnsi="Arial" w:cs="Arial"/>
          <w:color w:val="858585"/>
          <w:sz w:val="24"/>
          <w:szCs w:val="24"/>
          <w:lang w:eastAsia="ru-RU"/>
        </w:rPr>
      </w:pPr>
      <w:r w:rsidRPr="00C76A7B">
        <w:rPr>
          <w:rFonts w:ascii="Arial" w:eastAsia="Times New Roman" w:hAnsi="Arial" w:cs="Arial"/>
          <w:color w:val="858585"/>
          <w:sz w:val="24"/>
          <w:szCs w:val="24"/>
          <w:lang w:eastAsia="ru-RU"/>
        </w:rPr>
        <w:t>25 Декабря</w:t>
      </w:r>
    </w:p>
    <w:p w:rsidR="00B942D2" w:rsidRPr="00C76A7B" w:rsidRDefault="00B942D2" w:rsidP="00B942D2">
      <w:pPr>
        <w:shd w:val="clear" w:color="auto" w:fill="FFFFFF"/>
        <w:spacing w:after="0" w:line="240" w:lineRule="auto"/>
        <w:rPr>
          <w:rFonts w:ascii="Arial" w:eastAsia="Times New Roman" w:hAnsi="Arial" w:cs="Arial"/>
          <w:color w:val="363636"/>
          <w:sz w:val="24"/>
          <w:szCs w:val="24"/>
          <w:lang w:eastAsia="ru-RU"/>
        </w:rPr>
      </w:pPr>
      <w:r w:rsidRPr="00C76A7B">
        <w:rPr>
          <w:rFonts w:ascii="Arial" w:eastAsia="Times New Roman" w:hAnsi="Arial" w:cs="Arial"/>
          <w:noProof/>
          <w:color w:val="363636"/>
          <w:sz w:val="24"/>
          <w:szCs w:val="24"/>
          <w:lang w:eastAsia="ru-RU"/>
        </w:rPr>
        <mc:AlternateContent>
          <mc:Choice Requires="wps">
            <w:drawing>
              <wp:inline distT="0" distB="0" distL="0" distR="0" wp14:anchorId="199D4099" wp14:editId="40C3ED32">
                <wp:extent cx="2854325" cy="2003425"/>
                <wp:effectExtent l="0" t="0" r="0" b="0"/>
                <wp:docPr id="1" name="Прямоугольник 1" descr="http://www.spbtrd.ru/upload/resize_cache/iblock/3d5/300_300_1/gchp-sfery.PN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854325" cy="200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C8C648" id="Прямоугольник 1" o:spid="_x0000_s1026" alt="http://www.spbtrd.ru/upload/resize_cache/iblock/3d5/300_300_1/gchp-sfery.PNG" style="width:224.75pt;height:157.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" filled="f" stroked="f">
                <o:lock v:ext="edit" aspectratio="t"/>
                <w10:anchorlock/>
              </v:rect>
            </w:pict>
          </mc:Fallback>
        </mc:AlternateContent>
      </w:r>
      <w:r w:rsidRPr="00C76A7B">
        <w:rPr>
          <w:rFonts w:ascii="Arial" w:eastAsia="Times New Roman" w:hAnsi="Arial" w:cs="Arial"/>
          <w:color w:val="363636"/>
          <w:sz w:val="24"/>
          <w:szCs w:val="24"/>
          <w:lang w:eastAsia="ru-RU"/>
        </w:rPr>
        <w:br/>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АНО «Дирекция по развитию транспортной системы Санкт-Петербурга и Ленинградской области» провела очередной мониторинг инвестиционной активности транспортных проектов в субъектах РФ, реализуемых с применением государственно-частного партнерства за второе полугодие 2018 года.</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 конец 2 полугодия 2018 в транспортной сфере РФ на различных стадиях реализации на муниципальном, региональном и федеральном уровнях находится 173 ГЧП проектов (на конец 1 полугодия 2018 – 170 проектов).</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lastRenderedPageBreak/>
        <w:t>Наиболее распространённой формой реализации ГЧП проектов по-прежнему является концессия: более двух третей проектов реализуются либо планируются к реализации на основе концессионного соглашения (115-ФЗ).</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Наибольший объем инвестиций в РФ приходится на федеральные ГЧП проекты – свыше полутора триллиона рублей. Основными проектами являются проекты строительства федеральных автомобильных дорог, где концедентом выступает ГК «Автодор» либо Федеральное дорожное агентство.</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Среди субъектов РФ лидером по объему инвестиций в транспортные ГЧП проекты является г. Санкт-Петербург – в совокупности на город приходится 689,7 млрд. руб. Москва (510,2 млрд. руб.) и Московская область (356,0 млрд. руб.).</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Исходя из собранной информации, большая часть ГЧП проектов имеет длительный срок реализации – 66 проектов из 173 имеют срок реализации больше 20 лет, для 56 проектов предполагается реализация в течение 10-20 лет. 27 проектов имеют срок реализации от 5 до 10 лет. 11 проектов имеют срок реализация до 5 лет.</w:t>
      </w:r>
    </w:p>
    <w:p w:rsidR="00B942D2" w:rsidRPr="00C76A7B" w:rsidRDefault="00B942D2" w:rsidP="00B942D2">
      <w:pPr>
        <w:shd w:val="clear" w:color="auto" w:fill="FFFFFF"/>
        <w:spacing w:after="360"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Наибольшее количество проектов по стоимости имеют объем до 1 млрд. руб. (51 шт.) и более 30 млрд. руб. (39 шт.). Меньше всего проектов с объемом инвестиций от 5 до 10 млрд. руб. (21 шт.).</w:t>
      </w:r>
    </w:p>
    <w:p w:rsidR="00B942D2" w:rsidRPr="00C76A7B" w:rsidRDefault="00B942D2" w:rsidP="00B942D2">
      <w:pPr>
        <w:shd w:val="clear" w:color="auto" w:fill="FFFFFF"/>
        <w:spacing w:line="360" w:lineRule="atLeast"/>
        <w:rPr>
          <w:rFonts w:ascii="Arial" w:eastAsia="Times New Roman" w:hAnsi="Arial" w:cs="Arial"/>
          <w:color w:val="363636"/>
          <w:sz w:val="24"/>
          <w:szCs w:val="24"/>
          <w:lang w:eastAsia="ru-RU"/>
        </w:rPr>
      </w:pPr>
      <w:r w:rsidRPr="00C76A7B">
        <w:rPr>
          <w:rFonts w:ascii="Arial" w:eastAsia="Times New Roman" w:hAnsi="Arial" w:cs="Arial"/>
          <w:color w:val="363636"/>
          <w:sz w:val="24"/>
          <w:szCs w:val="24"/>
          <w:lang w:eastAsia="ru-RU"/>
        </w:rPr>
        <w:t>Среди проектов до 1 млрд. руб. – большинство связаны со строительством платных парковок, установки систем фото- видеофиксации нарушений ПДД, весогабаритного контроля, строительства участков дорог и путепроводов.</w:t>
      </w:r>
    </w:p>
    <w:p w:rsidR="00B942D2" w:rsidRDefault="00B942D2" w:rsidP="00B942D2">
      <w:pPr>
        <w:pStyle w:val="1"/>
        <w:spacing w:before="450" w:beforeAutospacing="0" w:after="450" w:afterAutospacing="0"/>
        <w:ind w:left="450" w:right="450"/>
        <w:rPr>
          <w:rFonts w:ascii="Tahoma" w:hAnsi="Tahoma" w:cs="Tahoma"/>
          <w:color w:val="474747"/>
          <w:sz w:val="27"/>
          <w:szCs w:val="27"/>
        </w:rPr>
      </w:pPr>
      <w:r>
        <w:rPr>
          <w:rFonts w:ascii="Tahoma" w:hAnsi="Tahoma" w:cs="Tahoma"/>
          <w:color w:val="474747"/>
          <w:sz w:val="27"/>
          <w:szCs w:val="27"/>
        </w:rPr>
        <w:t>Глава 8 ГЧП в сфере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Крупнейшей сферой исторически сложившегося взаимодействия государства и частного капитала в области производства общественных услуг, объединения ресурсов и разделения рисков являются в современном мире транспортные проекты: водные каналы, мосты и туннели, стратегические железные и автомобильные дороги, морские порты и аэропорты, логистические комплексы транспортных узлов, трубопроводный, городской общественный и коммунальный транспорт.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Для Российской Федерации решение транспортной проблемы было и остается приоритетной задачей, при этом государственно-частное партнерство рассматривается как реальный эффективный механизм достижения целей, поставленных в программных документах. Распоряжением Правительства РФ от 22 ноября 2008 г. № 1734-р [89] утверждена Транспортная стратегия Российской Федерации на период до 2030 года. Направления развития транспортной системы базируются в Стратегии на идеях проекта Концепции долгосрочного социально-экономического развития Российской Федерации на период до 2020 года и на широком спектре документов, определяющих перспективы </w:t>
      </w:r>
      <w:r>
        <w:rPr>
          <w:rFonts w:ascii="Tahoma" w:hAnsi="Tahoma" w:cs="Tahoma"/>
          <w:color w:val="424242"/>
          <w:sz w:val="21"/>
          <w:szCs w:val="21"/>
        </w:rPr>
        <w:lastRenderedPageBreak/>
        <w:t>общественного и экономического развития России, ее регионов и отраслевых комплексов, транспортной системы и отдельных видов транспорта, международной транспортной интеграции. В числе этих документов – стратегии регионального и отраслевого развития, законодательные и иные нормативные правовые акты, включая бюджетные послания Президента РФ Федеральному Собранию РФ, федеральные законы о федеральном бюджете и бюджетах государственных внебюджетных фондов, соответствующее региональное законодательство, нормативные правовые акты в области обороны и национальной безопасности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Транспортная отрасль в России должна системно обеспечить все сферы жизнедеятельности отечественной экономики, выйти на конкурентные позиции по основным экономическим показателям (производительность, фондоотдача, рентабельность, энергоемкость), по уровню совокупных издержек общества, зависящих от транспорта, удельных транспортных издержек в стоимости продукции и услуг, безопасности, экологичности и качества транспортных услуг. Внедрение транспортной системы страны в стратегические программы смежных отраслей и регионов России позволит, в свою очередь, обеспечить развитие субъектов РФ, отраслей и межотраслевых комплексов.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доля внебюджетных инвестиций в финансировании транспортного комплекса составляет около 40%. Остальные 60% обеспечиваются за счет бюджетных средств. Исходя из задач Транспортной стратегии в перспективе это соотношение должно измениться в сторону увеличения доли внебюджетных источников. Прогнозируемый объем капитальных вложений в Стратегию (по инерционному варианту) составляет около 136 трлн руб. (2010–2030 гг.), в том числе более 18 трлн руб. за период 2010–2015 гг. Причем около 28% из них – средства федерального бюджета, примерно 15% – бюджеты субъектов РФ и основная часть – 57% – внебюджетные средства.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качестве одного из социально-экономических итогов реализации Стратегии постулируется «развитие конкурентной среды, государственно-частного партнерства, целенаправленное формирование условий для инвестирования», которые «обеспечат интенсивный рост инвестиционной привлекательности отрасли».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8.1. Автомобильные дороги и инженерные сооружения транспортной инфраструктуры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Мировой опыт строительства автомагистралей и связанной с ними инфраструктуры на принципах ГЧП чрезвычайно обширен. «Старая» Европа и Северная Америка, Австралия, государства Центральной и Восточной Европы с переходной экономикой, развивающиеся страны Азии, Центральной и Южной Америки, Африки накопили богатый опыт реализации проектов в этой сфере, что подтверждает адаптивность механизма ГЧП к различным системам государственного устройства при решении властью долгосрочных социально-экономических задач.</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Российской Федерации на автомобильный транспорт приходится 47,4% объема коммерческих перевозок грузов и 57,8% пассажирских перевозок транспортом общего пользования. Анализ международного опыта использования механизма ГЧП позволяет с оптимизмом говорить о перспективах реализации инвестиционных проектов по созданию автодорожной инфраструктуры в нашей стране. В первую очередь это относится к системе платных автомагистралей.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В целях реализации проектов по созданию платных автомобильных дорог и формирования инвестиционной привлекательности дорожного хозяйства в Минтрансе создана Рабочая группа по развитию платных автодорог и других объектов инфраструктуры; в подпрограмму «Автомобильные дороги» ФЦП «Модернизация транспортной системы России (2002– 2010 годы)» включен дополнительный раздел «Государственно-частное партнерство при строительстве автомобильных дорог и объектов дорожной инфраструктуры». В нем перечислены первоочередные объекты, на которых до 2013 г. должен быть введен платный проезд. Помимо российских компаний планируется на конкурсной основе привлекать к подготовке и реализации проектов платных дорог </w:t>
      </w:r>
      <w:r>
        <w:rPr>
          <w:rFonts w:ascii="Tahoma" w:hAnsi="Tahoma" w:cs="Tahoma"/>
          <w:color w:val="424242"/>
          <w:sz w:val="21"/>
          <w:szCs w:val="21"/>
        </w:rPr>
        <w:lastRenderedPageBreak/>
        <w:t>международные инжиниринговые и финансовые компании, имеющие соответствующий опыт и высокую репутацию.</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Минтранс совместно с Минэкономразвития, а также ведущими мировыми консалтинговыми компаниями разрабатывает комплексную концепцию организационно-правовой и финансовой модели управления на платных автомобильных дорогах. Рассмотрим состояние и ближайшие перспективы реализации проектов ГЧП в этой сфере.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Первая платная скоростная автомагистраль – «Западный скоростной диаметр» (ЗСД) в Санкт-Петербурге. Строительство ЗСД и его последующая эксплуатация на платной основе являются полигоном для применения механизмов государственно-частного партнерства в развитии транспортной инфраструктуры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соответствии с распоряжением Правительства РФ от 31 октября 2006 г. № 1494-р [90] реализация проекта строительства ЗСД осуществляется на основе концессионного соглашения, права и обязанности концедента по которому совместно осуществляются Российской Федерацией и городом федерального значения Санкт-Петербургом и которое предполагает строительство ЗСД как объекта государственной собственности.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Проект «Западный скоростной диаметр» в Санкт-Петербурге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Целью создания платной скоростной автомагистрали являются повышение эффективности работы Санкт-Петербургского транспортного узла и подключение его к сети федеральных автомобильных дорог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Проект магистрали предусматривает строительство автодороги протяженностью 48,9 км, 55% из которых составят эстакадные участки. Средняя ширина – 6–8 полос. В составе магистрали предполагается сооружение двух туннелей и постройка 72 инженерных сооружений, включая мосты, путепроводы и транспортные развязки.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Стоимость проекта составляет 212 млрд 700 млн руб., в том числе средства инвесторов – 108 млрд, Инвестиционного фонда – 71,2 млрд, средства бюджета города – 33,5 млрд руб.</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Инвестором выступил консорциум «Западный скоростной диаметр – Невский меридиан», в который вошли французская компания «Bouygues», немецкая «Hochtief», российские «Базовый элемент» и «Мостотряд-19», а также французская инжиниринговая «Egis» и австрийская строительная «Strabag AG». Обязанности концедента при заключении и исполнении концессионного соглашения в отношении автомобильной дороги ЗСД осуществляются совместно Российской Федерацией в лице Федерального дорожного агентства и Санкт-Петербургом.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начале ноября 2006 г. стартовал конкурс по выбору инвестора для строительства магистрали. Документация к открытому конкурсу на право заключения концессионного соглашения в отношении ЗСД утверждена Концедентом – Федеральным дорожным агентством и Правительством Санкт-Петербурга [91] . К конкурсу были допущены четыре участника, представлявшие интересы консорциумов российских, австрийской, немецкой, французской, голландской, турецкой, южно-африканской и испанской компаний. В связи с тем, что срок подачи заявок неоднократно продлевался, постановление о заключении концессионного соглашения на строительство ЗСД было принято только в июле 2008 г., а уже в конце того же года был открыт первый участок ЗСД протяженностью 5,7 км.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xml:space="preserve">Реализация проекта осуществляется в соответствии с законодательством Российской Федерации и Санкт-Петербурга с использованием существующих юридических схем и механизмов. Вместе с тем привлечение совместного финансирования федерального бюджета и бюджета Санкт-Петербурга повлекло необходимость издания специальных распоряжений Правительством РФ [92] и Правительством Санкт-Петербурга [93] , </w:t>
      </w:r>
      <w:r>
        <w:rPr>
          <w:rFonts w:ascii="Tahoma" w:hAnsi="Tahoma" w:cs="Tahoma"/>
          <w:color w:val="424242"/>
          <w:sz w:val="21"/>
          <w:szCs w:val="21"/>
        </w:rPr>
        <w:lastRenderedPageBreak/>
        <w:t>предусматривающих порядок реализации проекта, утверждения схемы его финансирования с учетом социальной значимости проекта для Северо-Западного региона и России в целом.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Взаимоотношения Российской Федерации и Санкт-Петербурга по поводу совместной реализации проекта создания и эксплуатации ЗСД урегулированы соответствующим Соглашением от 30 ноября 2006 г. [94] . Однако в связи с финансовым кризисом реализация проекта в целом оказалась под угрозой срыва. Концессионный договор не подписан. «Строительство этой дороги у нас планировалось совместно с частными инвесторами, но, к сожалению, в современных условиях они отпали. В связи с этим мы приняли решение, чтобы и коллектив сохранить, и построить дорогу», – заявил Председатель Правительства РФ В.В. Путин. В итоге государство гарантировало финансирование строительства Западного скоростного диаметра (ЗСД) в Санкт-Петербурге на 2009–2010 гг. за счет средств федерального бюджета в размере более 20 млрд руб. В 2009 г. планировалось выделить из федерального бюджета на строительство объекта 6 млрд руб., а в 2010 г. – 14,6 млрд руб. Санкт-Петербург, в свою очередь, в 2009–2010 гг. выделит из своего бюджета еще 6 млрд руб. [95] . Ранее ввод ЗСД планировался на конец 2011 г. В феврале 2009 г. администрация города сообщила, что сроки окончания ЗСД переносятся на 2013–2014 гг. «из-за сложных экономических условий».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Другим крупным и национально значимым проектом в области развития дорожной инфраструктуры, финансирование которого предполагается осуществлять с привлечением внебюджетных средств, является проект создания новой скоростной автомобильной магистрали Москва – Санкт-Петербург (от МКАД до КАД Санкт-Петербурга), интегрированной в международные транспортные коридоры «Север – Юг».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Скоростная автомагистраль Москва – Санкт-Петербург </w:t>
      </w:r>
      <w:r>
        <w:rPr>
          <w:rFonts w:ascii="Tahoma" w:hAnsi="Tahoma" w:cs="Tahoma"/>
          <w:i/>
          <w:iCs/>
          <w:color w:val="424242"/>
          <w:sz w:val="21"/>
          <w:szCs w:val="21"/>
        </w:rPr>
        <w:t>[96]</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Протяженность будущей платной автотрассы от Москвы до Санкт-Петербурга составит около 650 км. Ширина проезжей части дороги – 10 полос на выезде из Москвы, 8 полос – в Ленинградской и Московской областях и 6 полос – на территории Тверской и Новгородской областей. Согласно проекту по дороге до Санкт-Петербурга будет построено 32 развязки, 85 мостов и 167 путепроводов, а в Санкт-Петербурге новая трасса соединится с дорогой на Финляндию. Платная трасса потребует инвестиций в размере приблизительно 200–240 млрд руб. Срок окупаемости – около 17 лет.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Общая длина головного участка автомагистрали «Москва-Санкт-Петербург» составляет 43 км 108 м. Общее число полос движения – 8–10; ширина полосы движения – 3,75 м. На дороге будет установлена Автоматизированная система управления дорожным движением, организованы площадки для отдыха, обеспечена современная связь посредством применения последних достижений информационных технологий (в том числе пункты аварийной связи), служба эвакуации. Средневзвешенный тариф для проезда по трассе по условиям конкурсного предложения выигравшего участника составляет 3,60 руб./км. Строительство начнется в 2010 г. после подтверждения концессионером финансового закрытия проекта. Срок строительства – 36 месяцев.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Общая стоимость проекта составляет около 60 млрд руб., 23 млрд руб. выделяет Правительство РФ, а остальные средства привлекает концессионер.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27 июля 2009 г. в Министерстве транспорта РФ состоялось подписание концессионного соглашения о финансировании, строительстве и эксплуатации на платной основе скоростной автодороги Москва – Санкт-Петербург на участке 15–58 км. Со стороны концедента концессионное соглашение подписал руководитель Федерального дорожного агентства, со стороны концессионера – Генеральный директор французского холдинга «Vinci», который является учредителем специально созданного для осуществления проекта ООО «Северо-западная концессионная компания». Эта компания стала в 2008 г. победителем концессионного конкурса, объявленного в соответствии с распоряжением Правительства РФ 24 сентября 2007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Строительство головного участка магистрали Москва-Санкт-Петербург позволит решить ряд транспортных проблем Москвы и ближайшего Подмосковья, в том числе обеспечить новый скоростной подъезд к аэропорту Шереметьево и городам Химки, Долгопрудному, Зеленограду, разгрузить проходящий по г. Химки участок существующей автодороги М-10 «Россия», который станет дублирующим (альтернативным) маршрутом для бесплатного проезда.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Необходимость решения транспортной проблемы вызвала к жизни ряд других стратегических концессионных автодорожных проектов. Так, в концессионном конкурсе проекта строительства нового выхода на Московскую кольцевую автомобильную дорогу с федеральной автомобильной дороги М-1 «Беларусь» Москва – Минск победило ОАО «Главная дорога». Это консорциум, сформированный управляющей компанией «Лидер», в который вошли «Газпромбанк», «Стройгазконсалтинг», португальская Brisa, австрийская Alpine и испанская FCC Construccion. Реализация данного проекта позволит разгрузить головные участки Минского и Рублево-Успенского шоссе, выведет транзитное движение из г. Одинцово, улучшит экологическую обстановку.</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Ведется разработка проектной документации по крупнейшему инвестиционному проекту «Строительство Центральной кольцевой автомобильной дороги Московской области», которая станет составляющей международных транспортных коридоров.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Проект «Строительство Центральной кольцевой автомобильной дороги Московской области»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Основная цель проекта – разгрузка радиальных выходов из Москвы и уличной сети города от движения большегрузного и транзитного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Проектная протяженность дороги – 442 км, удаленность от МКАД – от 25 до 80 км. Трасса пройдет по территориям 52 муниципальных образований Подмосковья [97] . Начало строительства запланировано на 2011 г. Открытие движения по первому участку ЦКАД ожидается в 2012 г. Предполагаемые сроки завершения строительства – 2015 г. Проектная стоимость строительства ЦКАД составляет 469 млрд руб. Подготовка проектно-сметной документации – 8,9 млрд руб., в том числе более 6 млрд руб. предполагается выделить из Инвестиционного фонда. Ожидается, что государство (за счет средств Инвестиционного фонда) профинансирует 60% стоимости строительства, правительство Московской области – 10%, частные инвесторы – 25%. Заказчик проекта – ФГУ «Дороги России».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Ведется подготовка к конкурсу на разработку проектной документации для строительства и эксплуатации на платной основе автомобильной дороги М-4 «Дон» на участках км 21 – км 117 и км 330 – км 464. Реализация данного проекта составит основу скоростного автодорожного маршрута по направлению международного транспортного коридора «Север – Юг» от морских портов на Балтике до Черного моря.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Еще одним новым крупным инфраструктурным проектом, создаваемым с использованием технологий ГЧП, является проект строительства трассы в обход г. Волгограда. На его примере можно проследить последовательность действий инициаторов проекта. Идея возникла еще в 2005 г. Цели проекта: экономическое развитие региона, разгрузка улично-дорожной сети г. Волгограда и улучшение экологической ситуации в городе, увеличение скорости движения транзитных потоков в МТК «Север – Юг» и снижение транспортных издержек. Осуществлять возврат инвестиций предполагалось на основе взимания платы за проезд.</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течение нескольких лет администрация Волгоградской области поднимала вопрос об изыскании финансирования для разработки и реализации данного проекта. Наконец одним из основных партнеров по данному проекту выступил Внешэкономбанк со своим Центром ГЧП. В подготовке контракта и необходимой документации участвует ряд профильных инженерных компаний, юридические консультанты, крупные финансовые институты. На предварительном этапе первичную оценку проекта произвела команда экспертов Всемирного банка, имеются перспективы привлечь к софинансированию Европейский банк реконструкции и развития.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2009 г. произведена оценка инвестиционной привлекательности проекта, определены стартовые значения основных критериев инвестиционного конкурса (объем внебюджетных инвестиций; распределение основных рисков; продолжительность платной эксплуатации – срок концессии; порядок установления максимальных тарифов за пользование платной автомобильной дорогой; объем государственных субсидий), а также организационные (управление проектом), финансовые (способы финансирования) и юридические (нормативно-правовые акты) механизмы, позволяющие реализовать проект.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На первой стадии разработки проекта: оценена общая сметная стоимость строительства автодороги – около 54 млрд руб. (доля государства – около 75%, частных инвесторов – 25%); определены эксплуатационные затраты; даны предложения по управлению проектом; определены размеры платы за проезд и доходы проекта; разработан финансовый план и произведена финансово-экономическая и социально-экономическая оценка проекта; определена его бюджетная эффективность; вы полнена оценка рисков и предложены мероприятия по их огра ничению. Доказана возможность бесплатного альтернативного проезда по существующей улично-дорожной сети г. Волгограда.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Реализовывать проект создания платной автомобильной дороги предполагается в форме государственно-частного партнерства на основе схемы ВОТ. Весь процесс реализации по критерию финансирования можно разделить на два этапа: подготовительный (финансируется за счет средств федерального бюджета и бюджета Волгоградской области) и коммерческий (долевое финансирование в рамках концессионного соглашения).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Предполагаемый срок начала эксплуатации платного участка – 2013 г. Период окупаемости – 13 лет. Продолжительность периода эксплуатации дороги на платной основе – 30 лет. Такой срок позволяет привлечь в проект инвестора с максимальным количеством денежных средств. Уменьшение срока приведет к снижению суммы вложений частного инвестора. Увеличение же данного срока не приводит к значительному увеличению суммы его вложений.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 учетом продолжительности строительства общий срок концессионного соглашения составляет 35 лет. Проект должен оказать положительный социальный и бюджетный эффект и, следовательно, может быть частично профинансирован за счет государства. Государственное финансирование проекта на стадии строительства объекта предполагается осуществлять за счет средств Инвестиционного фонда. Форма финансирования – субсидии. Кроме предоставления субсидий на строительство государственный участник проекта финансирует и обеспечивает разработку проекта дороги, а также подготовку территории, включая выкуп и изъятие земель.</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Размер платы за проезд и эластичность спроса на проезд по платной дороге в зависимости от размера платы были определены в соответствии с «Методикой расчета размера платы за проезд по платным автомобильным дорогам и дорожным объектам…» [98]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Задача оценки генерируемого финансового потока решается с помощью следующего алгоритма: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1) проводится анализ существующей интенсивности движения на сети автомобильных дорог зоны тяготения платной автомагистрали;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2) рассчитывается максимальное значение экономии, достигаемой пользователем при проезде по платной автомагистрали в сравнении с альтернативными маршрутами;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3) проводится анкетирование водителей легковых автомобилей и руководителей автотранспортных предприятий – потенциальных пользователей платной автомагистрали;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4) определяются оптимальные значения размеров платы за проезд для каждой группы автомобилей;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5) для рассчитанных значений размеров платы и с учетом анализа существующей интенсивности и планов развития дорожной сети осуществляется моделирование транспортных потоков на платной и прилегающих альтернативных автодорогах.</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Проведенные социологические исследования показывают, что наличие не менее 80% потенциальных пользователей автомобильной дороги поддерживает решение о ее строительстве.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«Транспортная стратегия Российской Федерации на период до 2030 года» определила масштабную программу развития сети автомобильных дорог, в реализации которой важная роль отведена проектам ГЧП. Это в полной мере относится к строительству платных и скоростных автомагистралей, региональных автодорог, дорог, позволяющих интегрировать разобщенную дорожную сеть отдельных областей в единую транспортную систему России, модернизировать и разгрузить крупные транспортные узлы, обеспечить доступ к морским портам и потенциальным точкам экономического роста, наладить круглогодичную связь по дорогам общего пользования с перспективными населенными пунктами, развить местную автодорожную сеть с твердым покрытием, которая в будущем должна связать все населенные пункты. В связи с этим автодорожные ГЧП должны стать объектом внимания не только федеральных и отдельных региональных органов исполнительной власти, но и органов местного самоуправления.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8.2. ГЧП на объектах железнодорожного транспорта Российской Федерации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Железнодорожный транспорт выполняет 62% общего объема грузовых перевозок или 84,3% общего грузооборота (без учета трубопроводного). Общая протяженность российских железных дорог – более 86 тыс. км. Предприятия негосударственных форм собственности осуществляют на промышленном железнодорожном транспорте 85,6% перевозок грузов. При этом на 1000 кв. км в стране приходится всего 5 км железных дорог, что в десятки раз ниже мировых стандартов для развитых стран.</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Если обратиться к Транспортной стратегии, то в ее Инерционном варианте на период 2010–2015 гг. при общем объеме капитальных вложений в железнодорожный транспорт в 7,665 трлн руб. более 90% средств предусматривается привлечь из внебюджетных источников (6,926 трлн руб.) и менее 10% – из федерального и региональных бюджетов. ГЧП должно стать способом реализации проектов новых капиталоемких железнодорожных линий с окупаемостью 10–15 лет.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Железнодорожный транспорт является классической сферой применения ГЧП. В перспективе передача объектов отрасли в концессию может стать основным инструментом экономической реформы на железнодорожном транспорте.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Этот тезис подтверждается не только историческим (о чем мы говорили в части I настоящего пособия), но и современным европейским и мировым опытом (в том числе Китая и Индии). Так, компанией «Siemens» на условиях концессии был реализован проект железной дороги в Мексике длиной 150 км, соединяющей восемь городов. Срок концессии – 30 лет. Общий объем инвестиций в проект составил 1,1 млрд долл. В качестве другого примера назовем проект ГЧП высокоскоростной магистрали HSL Zuid в Нидерландах, весь объем инвестиций в который – 1,2 млрд евро – был внесен частными инвесторами (90% – частными банками, 10% – промышленными компаниями, в том числе «Siemens»).</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Ряд проектов в области железнодорожного транспорта на базе модели ГЧП реализуется с участием международных финансовых институтов. Европейский инвестиционный банк реализовал по схеме ГЧП железную дорогу Oresund (Дания, Швеция), высокоскоростную магистраль HSL Zuid (Нидерланды), туннель Rail Link (Англия). Крупные частные инвестиционные банки (HSBC, Deutsche Bank, Bank of America) тоже участвуют в проектах ГЧП в сфере строительства объектов железнодорожной инфраструктуры.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Основные направления эффективного использования механизмов ГЧП: комплексная эксплуатация отдельных участков железных дорог; управление и содержание участков сети железных дорог; выполнение перевозок на сети, принадлежащей государству; управление и содержание терминальных объектов (вокзалы, грузовые терминалы).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Российской Федерации планируется использовать различные технологии финансирования проектов ГЧП, такие как экспортное, проектное и частично сметное финансирование (например, в проектах комплексного освоения территорий), и различные формы ГЧП – от концессий, арендных и лизинговых схем до софинансирования проектов в рамках государственно-частного партнерства. Потенциал российских институтов развития, банков и крупнейших частных и частно-государственных компаний сегодня, несмотря на кризис, позволяет вести речь о реализации железнодорожных инфраструктурных проектов на условиях ГЧП в беспрецедентно крупных масштабах.</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области железнодорожного транспорта использование механизма ГЧП предполагается в проектах строительства высокоскоростных железнодорожных магистралей Москва – Санкт-Петербург, Москва – Нижний Новгород, Санкт-Петербург – Бусловская. Они обеспечат перенос пассажирского движения с существующих перегруженных железнодорожных линий и использование последних исключительно для грузовых перевозок. Эти железные дороги составят реальную конкуренцию автомобильному и воздушному транспорту. Общий экономический эффект от проектов будет достигнут за счет повышения эффективности грузоперевозок, дополнительного стимулирования экономического развития как минимум трех регионов Российской Федерации и создания дополнительных рабочих мест в районах прохождения трассы.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 важным железнодорожным проектам на основе ГЧП, получившим поддержку Инвестиционного фонда РФ, относятся: грузообразующие и технологические линии в рамках проектов «Урал промышленный – Урал полярный», «Белкомур» (Белое море – Коми – Урал), «Комплексное развитие Нижнего Приангарья» и др.; строительство железной дороги Кызыл – Курагино (505 км), которая свяжет Республику Тыва с железнодорожной сетью России, проекты строительства подъездных путей к месторождениям полезных ископаемых (коксующиеся угли, медь, молибден и др.), железная дорога Нарын – Лугокан в Читинской области (375 км) для освоения месторождений полиметаллов; проекты развития крупных транспортных узлов, припортовых железнодорожных станций и др.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этих проектах предусматриваются участие и привлечение инвестиций компаний ОАО РЖД, «Газпром», «ЛУКОЙЛ», ОПК (группа Межпромбанка), «НОВАТЭК», ТНК – ВР, «Транснефть», ОАО «Норильский никель», «РУСАЛ», «СУЭК», ОАО «Азот», ОАО «Сильвинит» и др. При этом роль компаний с государственным (в том числе 100-процентным) участием в проектах ГЧП представляется противоречивой. С одной стороны, они выступают как партнер, представляющий интересы государства, но с другой – их уставная задача – максимизация прибыли в результате коммерческой деятельности и соответственно рыночное поведение. В качестве соинициаторов проектов выступают администрации соответствующих субъектов РФ (или юридические лица, представляющие их интересы): республик Тыва, Коми, Бурятия, Коми-Пермяцкого автономного округа, Читинской, Архангельской, Пермской, Мурманской областей, Красноярского края (Корпорация развития Красноярского края). По ряду проектов в целях их реализации (начиная с разработки проектной документации) могут создаваться корпорации (например, ОАО «Корпорация Урал промышленный – Урал полярный») и управляющие компании.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результате государственно-частное партнерство на железнодорожном транспорте будет формироваться и реализовываться по трем принципиальным схемам: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1) долевое финансирование строительства, реконструкции и, возможно, эксплуатации железнодорожной инфраструктуры, в том числе с использованием инвестиционных ресурсов государственных институтов развития;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2) финансирование строительства, реконструкции и эксплуатации железнодорожной инфраструктуры за счет заинтересованных пользователей железнодорожных услуг;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3) государственное стимулирование инвестиционной активности частных компаний, включая транспортные и промышленные корпорации и предприятия.</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ситуации, когда потребности в инвестициях огромны, но существуют бюджетные ограничения, использование финансового инжиниринга, а именно модели ГЧП в части реализации крупных инфраструктурных проектов может стать эффективным решением проблемы развития железнодорожного транспорта России.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8.3. ГЧП на объектах морского транспорта и внутренних водных путей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Государственная политика на морском транспорте направлена на реализацию положений Морской доктрины Российской Федерации [99] и Транспортной стратегии Российской Федерации на период до 2030 года.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соответствии с Доктриной основными целями судоходной политики Российской Федерации являются поддержание ее флота и морских портов на уровне, гарантирующем экономическую независимость и национальную безопасность, сокращение транспортных издержек, увеличение объемов внешней торговли и транзитных перевозок через территорию страны.</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 основным направлениям использования механизмов ГЧП в сфере морского и речного транспорта следует отнести: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развитие инфраструктуры, расширение объемов и номенклатуры портовых услуг в соответствии с перспективами роста объемов перевозок, внутренней и внешней торговли, повышения доли отечественных портов в переработке внешнеторговых грузов;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строительство специализированных, в том числе спортивных и туристских, портов;</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снижение административных и технологических барьеров при обработке судов и грузов, внедрение системы автоматической обработки информации;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строительство и обслуживание комплексов для таможенного контроля грузов; повышение качества и снижение стоимости стивидорных услуг (по перевалке и внутрипортовому экспедированию грузов, оформлению товарно-транспортных документов, таможенных процедур);</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совершенствование систем безопасности мореплавания, включая связь, навигационно-гидрографическое обслуживание судоходства;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обновление и строительство портового флота, включая ледокольный флот.</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настоящее время в портовом хозяйстве накоплен позитивный опыт работы с бизнесом по схемам ГЧП. Федеральное государственное унитарное предприятие «Росморпорт» и его филиалы привлекают инвесторов к проектам создания и реконструкции гидротехнических сооружений, находящихся в федеральной собственности, к дноуглубительным работам, используя механизмы аренды и контракты по схеме ВОТ. Возврат средств инвестора осуществляется посредством зачета его обязательств по договору о возмещении затрат балансодержателя на содержание арендованного имущества федеральной собственности, а также за счет части портовых сборов, взимаемых ФГУП «Росморпорт» с судов, обслуживаемых на объектах федеральной собственности.</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Внесенные в Бюджетный кодекс РФ изменения в части исключения имущества федеральных государственных унитарных предприятий из неналоговых доходов федерального бюджета от использования имущества, находящегося в государственной собственности, которые вступили в силу с 2008 г., позволили «Росморпорту» как балансодержателю портового имущества перезаключать арендные договоры с частными стивидорскими компаниями в портах на срок до 49 лет вместо ранее принятого срока – до 1 года. Оптимальный срок арендных договоров может составить 20–25 лет, что соответствует периоду 100-процентной амортизации причалов. Гарантии стабильности и соответственно возврата капитальных вложений стимулировали портовых арендаторов предлагать государству инвестиционные программы, включающие в том числе затраты по капитальному и текущему ремонту объектов портового хозяйства. Первыми на новых условиях были заключены договоры петербургского филиала «Росморпорта» с ЗАО «Первый контейнерный терминал» и ОАО «Лесной терминал “ФАКТОР”». Новые договоры прорабатываются со всеми крупнейшими портовыми арендаторами: стивидорными компаниями, другими акционерными обществами, специализирующимися на обработке конкретных грузов (нефть, лес, балкерные грузы, контейнеры, рефрижераторы, автомобили) [100]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Имеются перспективы развития ГЧП на объектах внутренних водных путей. Однако следует учесть, что отрасль длительное время не реформировалась и не получала достаточного бюджетного финансирования, которое сделало бы ее привлекательной для частного бизнеса. Неэффективна и тарифная система, что делает водный транспорт менее конкурентоспособным по сравнению с другими видами транспорта. Дополнительные средства для развития и поддержания инфраструктуры и, как следствие, создания условий для ГЧП здесь могут дать, например, доходы от введения платы за пользование отдельными гидро– и прочими сооружениями, в первую очередь в европейской части Российской Федерации (на реках Дон, Волга, Волго-Балтийском канале).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8.4. ГЧП на объектах воздушного транспорта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современном мире основными объектами ГЧП на воздушном транспорте стали строительство и модернизация аэропортов, управление и содержание взлетно-посадочных полос, аэропортовых комплексов или аэродромных объектов, централизованное управление и комплексное развитие аэропортов, где большинство проектов оцениваются как достаточно рентабельные.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Транспортная стратегия Российской Федерации констатировала наличие резкого отставания инфраструктуры и оборудования отечественных аэропортов от уровня развития международной гражданской авиации, отставание во внедрении современных средств и технологий в сфере организации воздушного движения, систем автоматической посадки и других радиотехнических систем, в развитии смежной, тыловой и складской инфраструктуры. Модернизация и развитие инфраструктуры воздушного транспорта России объявлены стратегическим приоритетом в сфере гражданской авиации. Сферой применения ГЧП здесь может стать государственное имущество, не подлежащее приватизации, имеются в виду, в частности, модернизация и эксплуатация взлетно-посадочных полос и рулежных дорожек, стоянок и перронов, светосигнального оборудования. При этом заключение соглашений о ГЧП в допустимой российским законодательством форме могло бы явиться инструментом урегулирования отношений собственности в аэропортах, где частные компании фактически уже используют не подлежащее приватизации государственное имущество. Необходимо совершенствовать нормативно-правовую базу, которая определила бы правила передачи в управление частным операторам аэропортов имущества, не подлежащего приватизации, возложения на них ответственности за обеспечение пользователей качественными услугами и содержание имущества в нормативном состоянии, а также условия предоставления прав получать сборы, например за взлет-посадку.</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Практика применения инструментария ГЧП в нашей стране крайне ограниченна. Серьезный урон планам включения частного сектора в деятельность по развитию системы региональных аэропортов нанес финансовый кризис.</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Рассмотрим на примере Санкт-Петербургского аэропорта «Пулково» вариант использования механизма ГЧП в реальной практике. Впервые в России реструктуризации подлежит успешно действующий крупный аэропорт, инфраструктурный объект регионального и международного значения. Реализация данного проекта должна проходить без приостановления деятельности аэропорта, без снижения качества оказания услуг, а, напротив, с поэтапным увеличением пропускной способности вплоть до уровня международного пересадочного узла – около 7,4 млн человек к 2010 г. и с возможностью увеличения до 22 млн человек к 2025 г. Работы будут выполняться по проекту английского архитектурного бюро, победившего на отдельном конкурсе 2007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Старт проекту был дан 16 апреля 2008 г., когда Правительство Санкт-Петербурга приняло постановление № 393 «О заключении соглашения о создании, реконструкции и эксплуатации на основе государственно-частного партнерства объектов, входящих в состав имущества аэропорта “Пулково”» и утвердило конкурсную документацию. Важной особенностью проекта является наличие действующего оператора аэропорта ОАО «Пулково» (100% акций принадлежат Санкт-Петербургу), которому на правах собственности принадлежит ряд объектов инфраструктуры аэропорта. Благодаря этому обстоятельству ОАО «Пулково» позиционируется в качестве третьего лица (после государства и частного инвестора), участвующего в соглашении. Кроме того, победителю конкурса, частному инвестору, должен быть передан без приостановления работы технологически сложный действующий объект и собственно аэропортный бизнес. Обновление аэропорта будет выполняться по проекту английского архитектора, предпринимателя Гриншоу, который был признан лучшим на отдельном конкурсе в конце 2007 г. Работая по схеме ГЧП, победитель конкурса должен будет провести реконструкцию аэропорта, после чего получит его в управление сроком на 30 лет. Общий объем инвестиций в проект оценивается в 1 млрд евро. Ожидается участие в софинансировании Внешэкономбанка, ЕБРР и Международной финансовой корпорации. В целом инвестор должен будет вложить в этот проект не менее 30 млрд руб. Правительство Санкт-Петербурга ориентируется на завершение реконструкции аэропорта Пулково в 2013 г.</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Международный конкурс на реализацию проекта по развитию международного аэропорта Пулково был объявлен весной 2008 г. и проходил в два этапа. К заключительному этапу конкурса были допущены три заявки от консорциумов ООО «Невский аэропорт» (оператор – «Changi airport», инвестор – «Базовый элемент»), ООО «Воздушные ворота Северной столицы» (оператор – «Фрапорт», инвестор – ВТБ) и ООО «Петропортконцессия» (оператор – «Flughafen», инвестор – «Газпромбанк»). Конкурсной документацией для участников были установ лены квалификационные требования: иметь опыт строитель ства аэропортов и привлечения инвестиций в объеме не менее 1 млрд долл.; в течение последних трех лет управлять аэропортом с пропускной способностью не менее 10 млн пассажиров в год с инвестициями в его развитие не менее 500 млн долл. Кроме того, участник не должен управлять или владеть аэропортом на расстоянии менее 800 км от Санкт-Петербурга.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Принципиальным вопросом в соглашении явился вопрос о разделении ответственности и управлении рисками проекта. Частному инвестору дается право самому управлять всеми денежными потоками по проекту, осуществлять контроль над эксплуатацией объектов и получением прибыли. От федеральных органов власти зависят нормативное правовое регулирование авиационной деятельности (например, требования к обеспечению безопасности в аэропортах), тарифная политика, федеральное налогообложение.</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принятом всеми сторонами соглашении о ГЧП по проекту должны учитываться все эти факторы. Так, если победитель конкурса, естественно, должен брать на себя риск нарушения сроков строительства и бюджетных ограничений, то риск трафика зависит от развития авиаперевозок в целом, от соответствующих международных договоров, обеспечивающих доступ иностранных авиаперевозчиков к сотрудничеству с аэропортом. В свою очередь объем трафика влияет на уровень получаемых доходов, зависит от возможных изменений Федеральной службой по тарифам тарифов и сборов, взимаемых оператором аэропорта, и от собираемости тарифов и иных платежей. В соглашении должны быть решены вопросы управления валютными рисками. На государстве определенно лежит ответственность за управление рисками изменения законодательства и недопущение появления конкурирующих видов деятельности, подрывающих конкретный аэропортный бизнес.</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соглашении о ГЧП следует урегулировать вопросы отношений собственности по поводу движимого и недвижимого имущества. Инфраструктура аэродрома (взлетно-посадочные полосы, рулежные дорожки и перроны, входящие в состав аэродромного комплекса), являющаяся собственностью Санкт-Петербурга, не может находиться в частной собственности. Выход из положения следующий: предоставить эти объекты в аренду частному инвестору для дальнейшей эксплуатации на период действия соглашения. Земельные участки под аэродромом и аэропортом «Пулково» тоже находятся в собственности Санкт-Петербурга, поэтому их следует передать частному инвестору во временное владение и пользование. Допустимое решение – аренда и субаренда. Недвижимое имущество ОАО «Аэропорт “Пулково”» также должно быть передано частному инвестору в аренду для его дальнейшей эксплуатации в соответствии с соглашением о ГЧП. Что касается вновь построенных и реконструированных объектов недвижимого имущества, они могут принадлежать ОАО «Аэропорт “Пулково”» и частному инвестору на праве общей долевой собственности в порядке и на условиях, определенных в соглашении о ГЧП. При этом на срок действия соглашения доля ОАО «Аэропорт “Пулково”» будет передана во владение и пользование частному инвестору. По окончании срока действия соглашения о ГЧП право общей долевой собственности частного инвестора подлежит прекращению в соответствии с условиями, предусмотренными соглашением и действующим российским законодательством.</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Как показывает мировая практика, подобные проекты ГЧП, позволяющие частному инвестору уже с первого дня осуществлять коммерческую деятельность в стратегически важных сферах экономики, являются привлекательными для частного бизнеса, институтов развития, банков и международных финансовых организаций, так как гарантируют частным инвесторам приемлемую для них доходность и обеспечены гарантиями со стороны дееспособного государства [101]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Существенным стимулом для развития в стране крупных объектов воздушного транспорта, функционирующих на принципах ГЧП, явилось принятие Федерального закона от 22 июля 2005 г. № 116-ФЗ «Об особых экономических зонах в Российской Федерации». Победителями конкурса по отбору заявок на создание ПОЭЗ в сфере воздушного транспорта стали заявки правительства Ульяновской области (аэропорт «Ульяновск-Восточный») и правительства Красноярского края (аэропорт «Емельяново»).</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Style w:val="a7"/>
          <w:rFonts w:ascii="Tahoma" w:hAnsi="Tahoma" w:cs="Tahoma"/>
          <w:color w:val="424242"/>
          <w:sz w:val="21"/>
          <w:szCs w:val="21"/>
        </w:rPr>
        <w:t>Проект «Развитие аэропорта “Ульяновск-Восточный”»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Цель проекта – создание в регионе авиационного кластера – системы организаций по разработке, производству, испытаниям летательных аппаратов, их эксплуатации, модернизации, ремонту и техническому обслуживанию, в том числе ведению аэропортовой деятельности, строительству новых терминалов и логистических мощностей. Бюджетные инвестиции в развитие необходимой инженерной и транспортной инфраструктуры предположительно составят около 30% общих инвестиций и обеспечат строительство объектов производственной инфраструктуры, подъездных железнодорожных и автомобильных путей, инженерных коммуникаций.</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 </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i/>
          <w:iCs/>
          <w:color w:val="424242"/>
          <w:sz w:val="21"/>
          <w:szCs w:val="21"/>
        </w:rPr>
        <w:t>Оценка объемов частных инвестиций от резидентов ОЭЗ – около 24 млрд руб. За счет этих средств планируется создать сборочное производство сверхлегких реактивных самолетов «Eclipse 500», терминально-складскую инфраструктуру, цех по ремонту и обслуживанию самолетов. Согласно заявке к 2020 г. объем услуг по обслуживанию и ремонту воздушных судов составит около 1400 тыс. нормо-часов, а объем перевалки грузов через аэро порт «Ульяновск-Восточный» – около 170 тыс. т. Производство самолетов Eclipse 500 должно выйти на проектную мощность к 2012 г. (800 сверхлегких реактивных самолетов в год). Кроме того, в результате за счет роста рабочих мест компаний-резидентов, развития инфраструктуры и смежных производств возрастет занятость населения области, увеличится средняя заработная плата, улучшится социальная инфраструктура.</w:t>
      </w:r>
    </w:p>
    <w:p w:rsidR="00B942D2" w:rsidRDefault="00B942D2" w:rsidP="00B942D2">
      <w:pPr>
        <w:pStyle w:val="a6"/>
        <w:spacing w:before="150" w:beforeAutospacing="0" w:after="150" w:afterAutospacing="0"/>
        <w:ind w:left="150" w:right="150"/>
        <w:jc w:val="both"/>
        <w:rPr>
          <w:rFonts w:ascii="Tahoma" w:hAnsi="Tahoma" w:cs="Tahoma"/>
          <w:color w:val="424242"/>
          <w:sz w:val="21"/>
          <w:szCs w:val="21"/>
        </w:rPr>
      </w:pPr>
      <w:r>
        <w:rPr>
          <w:rFonts w:ascii="Tahoma" w:hAnsi="Tahoma" w:cs="Tahoma"/>
          <w:color w:val="424242"/>
          <w:sz w:val="21"/>
          <w:szCs w:val="21"/>
        </w:rPr>
        <w:t>В отличие от Ульяновска аэропорт «Емельяново» в Красноярском крае уже располагает развитой инфраструктурой, способен принимать воздушные суда всех типов и перерабатывать в год до 85 тыс. т грузов. Создание ПОЭЗ на базе аэропорта «Емельяново», расположенного на пересечении транспортных коридоров «Европа – Юго-Восточная Азия» и кросс-полярных коридоров «Евразия – Северная и Южная Америки», позволит России стать крупным участником перераспределения международных грузопотоков на этих маршрутах, довести к 2019 г. ежегодный грузооборот до не менее чем 700 тыс. т. 36 компаний уже выразили намерение стать резидентами ПОЭЗ в Красноярском крае. Ожидается, что суммарная величина инвестиций в создание портовой зоны «Аэропорт “Емельяново”» составит около 25 млрд руб.: около 13% будут выделены из федерального бюджета, более 15% – из краевого и более 70% – резидентами ПОЭЗ.</w:t>
      </w:r>
    </w:p>
    <w:p w:rsidR="00B942D2" w:rsidRDefault="00B942D2" w:rsidP="00B942D2">
      <w:pPr>
        <w:ind w:firstLine="708"/>
        <w:jc w:val="both"/>
        <w:rPr>
          <w:rFonts w:ascii="Times New Roman" w:hAnsi="Times New Roman" w:cs="Times New Roman"/>
          <w:sz w:val="28"/>
          <w:szCs w:val="28"/>
        </w:rPr>
      </w:pPr>
    </w:p>
    <w:p w:rsidR="00B942D2" w:rsidRDefault="00B942D2" w:rsidP="00B942D2">
      <w:pPr>
        <w:ind w:firstLine="708"/>
        <w:jc w:val="both"/>
      </w:pPr>
      <w:r>
        <w:t>Проекты государственно-частного партнерства Концессионные проекты дорожная и социальная инфраструктура Основные формы проектов ГЧП в Москве Долгосрочные контракты с инвестиционной составляющей офсетные контракты, вывоз и переработка мусора, проекты на транспорте Аренда недвижимости с инвестиционными обязательствами льготная аренда для малого и среднего бизнеса, создание учреждений медицины и искусства Корпоративная форма ГЧП строительство транспортно-пересадочных узлов (ТПУ) Контракты жизненного цикла на поставку и обслуживание подвижного состава метрополитена и наземного городского транспорта 2019 | Городское агентство управления инвестициями | 3 Развитие ГЧП – приоритет инвестполитики объем контрактов по проектам ГЧП в 2013 г. – август 2019 г. &gt;₽875 2015 г. 13 место 2013 г. 3 место 1 место 2016-2019 г. млрд руб. Особенности подхода Москвы ▪ государственно-частное партнерство не ограничивается соглашениями о ГЧП и концессиями ▪ использование различных (в т.ч. новых) форм и механизмов при реализации проектов ▪ достижение комплексного результата и синергии от привлечения частного партнера 65 млрд руб. Концессионные проекты 434,8 млрд руб. Контракты жизненного цикла (КЖЦ) 232,4 млрд руб. Долгосрочные контракты с инвестсоставляющей 127 млрд руб. Корпоративная форма ГЧП 16,8 млрд руб. Аренда недвижимости с инвестобязательствами 2019 | Городское агентство управления инвестициями | 4 Концессии Проекты создания и развития городской инфраструктуры с последующей эксплуатацией (транспорт, здравоохранение) ₽65 объем инвестиций млрд 10,3км протяженность 40 лет срок концессии ~₽40 финансирование Крупнейший проект: Северный дублер Кутузовского проспекта (СДКП) ▪ Окупаемость за счет сбора платы за проезд (максимальный размер устанавливает город) ▪ Инвестор полностью финансирует строительство дороги, подготовка территории (перекладка коммуникаций) на 50% софинансируется городом ▪ Город не гарантирует доходность проекта ▪ Город финансирует изъятие и снос на территории строительства млрд 2019 | Городское агентство управления инвестициями | 5 Строительство транспортно-пересадочных узлов (ТПУ) 1,68 разрешенный объем строительства капитальных объектов на строящихся линиях и существующих станциях метро и городского железнодорожного транспорта ≈9 млн кв. м градостроительный потенциал ТПУ ≈₽ 700 млрд предполагаемый объем частных инвестиций по ТПУ 17 ТПУ уже переданы инвесторам ₽127 млрд планируемый объем капитальных затрат частных инвесторов млн кв. м 2019 | Городское агентство управления инвестициями | 6 Контракты жизненного цикла общественного транспорта Эффективный инструмент оптимизации расходов бюджета – контракты жизненного цикла (КЖЦ), предусматривающие поставку продукции с последующим обслуживанием Метрополитен Наземный транспорт Объем поставки 1576 вагона метро 436 автобусов 300 трамваев 300 электробусов (3 контракта) Срок контракта 30 лет 7 лет 30 лет 15 лет Сумма контракта 352 млрд руб. 7,3 млрд руб. 56,2 млрд руб. 19,3 млрд руб. 434,8 млрд руб. объем заключенных КЖЦ 2019 | Городское агентство управления инвестициями | 7 Льготная аренда с инвестиционными обязательствами Содержание проекта Ремонт/реставрация городских помещений за счет инвестора с последующей эксплуатацией их в качестве объектов социального и культурного назначения (льготная аренда на 20 и 49 лет). Принцип ГЧП ▪ До начала эксплуатации (ремонт/реставрация) – рыночная ставка аренды (торги) ▪ Запуск в эксплуатацию (завершение инвестиционной фазы) – 1 рубль за м2/год &gt;₽5 млрд частных инвестиций 107 проектов в процессе реализации 59 объектов уже открыты/отреставрированы 2019 | Городское агентство управления инвестициями | 8 Офсетные контракты – поддержка инвесторов через госзаказ Стимулирование локализации современных производств Уже заключено: 2контракта поставка лекарств (22МНН+31 МНН) ₽8,8 млрд объем частных инвестиций Перспективные направления: ▪ Снижение цены поставки ▪ Импортозамещение, гарантированные поставки ▪ Рабочие места и рост налогооблагаемой базы ▪ Платежеспособный потребитель ▪ Долгосрочная гарантия сбыта ▪ Включение в реестр единственных поставщиков + для города: + для инвестора: 10 лет до &gt;₽1 млрд срок контракта объем инвестиций в создание, модернизацию и/или освоение производства Ключевые условия контракта Закупается товар российского происхождения 2019 | Городское агентство управления инвестициями | 9 Первый офсетный контракт Москвы 22 МНН 10 лет количество закупаемых лекарств (международные непатентованные названия) срок контракта ₽14 млрд Предмет контракта: Лекарственные препараты (онкология/иммуномодуляторы) СОЗДАНИЕ ПРОИЗВОДСТВА 3 ГОДА ПОСТАВКА ПРОДУКЦИИ 7 ЛЕТ Снижение ~50% ₽3 млрд ОЭЗ Технополис Москва размещение производства ▪ Получен статус резидента ▪ Арендована площадка ▪ Завершено проектирование</w:t>
      </w:r>
    </w:p>
    <w:p w:rsidR="00B942D2" w:rsidRDefault="00B942D2" w:rsidP="00B942D2">
      <w:pPr>
        <w:ind w:firstLine="708"/>
        <w:jc w:val="both"/>
      </w:pPr>
    </w:p>
    <w:p w:rsidR="00B942D2" w:rsidRDefault="00B942D2" w:rsidP="00B942D2">
      <w:pPr>
        <w:spacing w:line="360" w:lineRule="auto"/>
        <w:ind w:firstLine="708"/>
        <w:jc w:val="both"/>
        <w:rPr>
          <w:rFonts w:ascii="Times New Roman" w:hAnsi="Times New Roman" w:cs="Times New Roman"/>
          <w:color w:val="333333"/>
          <w:sz w:val="28"/>
          <w:szCs w:val="28"/>
          <w:shd w:val="clear" w:color="auto" w:fill="F6F6F6"/>
        </w:rPr>
      </w:pPr>
      <w:r w:rsidRPr="003455DD">
        <w:rPr>
          <w:rFonts w:ascii="Times New Roman" w:hAnsi="Times New Roman" w:cs="Times New Roman"/>
          <w:color w:val="333333"/>
          <w:sz w:val="28"/>
          <w:szCs w:val="28"/>
          <w:highlight w:val="yellow"/>
          <w:shd w:val="clear" w:color="auto" w:fill="F6F6F6"/>
        </w:rPr>
        <w:t>Государственно-частное партнерство не является новейшим экономическим механизмом. История свидетельствует, что в XVIII и в начале XIX века группой британских вельмож были созданы дорожно-строительные трасты, занимавшие деньги у частных инвесторов для ремонта дорог. Заем они возвращали посредством взимания платы за проезд [1]. Большая часть мостов в Лондоне финансировалась за счет подобных мостовых трастов до середины XIX века. Известнейший всему мире Бруклинский мост в городе Нью-Йорке был построен с использованием такой же схемы с участием частного капитала. Исследуя вопрос развития государственно-частного партнерства во Франции, отметим, что там строительство каналов с участием частного капитала началось еще раньше, а именно, в XVII веке [1]. Данный тип Государственно-частного партнерства известен в научной и практической деятельности как «концессия» — модель, суть которой можно кратко выразить двумя словами — «платит пользователь». Для этой модели государственно-частного партнерства характерно следующее: частный участник «концессионер» имеет возможность взимать плату за использование объекта (пользование мостами, тоннелями или дорогами), что компенсирует концессионеру затраты на строительство и обслуживание объекта, и данная оплата, как правило, возвращается под контроль публичного сектора в конце периода концессии. Концессии начали широко применяться во многих странах уже в XIX и начале XX века. При этом данная модель государственно-частного партнерства использовалась не только для строительства дорог и смежных отраслей, но и для строительства железных дорог, объектов водоснабжения и канализации очистных сооружений. Дальнейшее развитие концессии получили с появлением франшизы (фр. Affermage). Термин «франшиза» представляет собой право эксплуатировать построенный объект, то есть по сути является тем же самым, что и «концессия», однако не включая в себя первоначальную стадию — строительство объекта. Франшиза не рассматривается как модель государственно-частного партнерства, поскольку не включает в себя финансирование строительства или развитие инфраструктуры, подразумевая только использование уже построенного объекта. Тем не менее она имеет частично тот же договорной и финансовый базис. В связи с увеличением роли государства после XIX века снизилось и использование концессий для строительства инфраструктурных объектов. Однако франшизы оставались важным явлением, особенно играя важную роль во французской водной отрасли. Вновь занять видное место концессии смогли лишь в конце двадцатого столетия, вместе с возросшим интересом к ним и иным механизмам государственно-частного партнерства, как альтернативам фондовой модели (модели финансирования из собственных средств государства). В современном понимании государственно-частного партнерства начало свое зарождение в Великобритании в начале 90-х годов двадцатого столетия. Это время характеризовалось сменой традиционного сотрудничества государства и подрядчика моделью «частной финансовой инициативы» (англ. Private Finance Initiative). Данная модель взаимодействия государства и частного бизнеса характеризовалась следующим: государство является заказчиком, при этом не оплачивая бизнесу те или иные капиталоемкие объекты. После окончания проведенной работы государство брало объект в долгосрочную аренду с определенным условием — подрядчик продолжал обеспечивать эксплуатацию этого объекта. Инвестиции таким образом возвращались подрядчику за счет арендных платежей. Как правило, после окончания оговоренного срока аренды объект передавался заказчику по символической стоимости или бесплатно. Практика применения механизма государственно-частного партнерства существенно расширялась по мере его применения. Государство, не имея финансовых возможностей обеспечить расширенное воспроизводство в указанных отраслях, могло передать их в долгосрочную аренду частному бизнесу, при этом имея право осуществлять контроль за их деятельностью. Подобные правоотношения постепенно начали распространяться и на отдельные, наиболее значимые и масштабные проекты — от оказания общественных услуг, до проведения важных научно — исследовательских и опытно-конструкторских работ и внедрения инноваций. Первопроходцами, заложившими основы в развитие государственно-частного партнерства наравне с Великобританией, являются и Соединенные штаты Америки. «В Америке формы Государственно-частного партнерства возникали и развивались в следующих основных направлениях: ‒ кооперационные исследования отдельных отраслевых и межотраслевых производств; ‒ привлечение научного потенциала страны для решения национальных проблем и передача технологий, созданных на федеральные средства для развития производств в отдельных штатах» [1]. Приведем примеры подобных форм [6]. Кооперационные программы научно-исследовательских и опытно-конструкторских работ (НИОКР) в рамках инновационного цикла — участниками партнерств выступают фирмы, представляющие весь спектр разработки и освоение новых технологий. В лице федеральных ведомств государство содействует созданию партнерств, принимая непосредственное участие в их деятельности. Стратегические межотраслевые партнерства — учреждаются для разработки и коммерциализации базовых технологий массового применения. Региональные центры передачи технологий НАСА. Одна из основных задач данных центров состоит в координации технологических инициатив страны и научно-технических организаций с НАСА. На базе университетов создаются региональные центры, деятельность которых финансируется правительством, штатами и фирмами на равных условиях. Изначально механизм государственно-частного партнерства в Америке был разработан с целью концентрации средств, направляемых на создание и внедрение инноваций для совместного использования полученных результатов. Все это позволило Соединенным Штатам достаточно развить технологическую мысль с учетом реальных потребностей новых рынков и добиться значительных успехов в данной отрасли. Опыт развитых мировых держав свидетельствует о том, что партнерские отношения государства и бизнеса всегда находились в поле зрения властей. Вопросы совершенствования управления государственной собственностью и возможности привлечения капиталов частных субъектов к реализации публичных интересов и государственных инициатив, требовали регулярной концептуальной проработки. «Партнерство не развивалось стихийно, а было вписано в общие процессы финансовой децентрализации публичной власти, передачи ряда государственных полномочий с центрального уровня на местный, частичной приватизации некоторых функций государства» [4]. В настоящее время проекты Государственно-частного партнерства разрабатываются более чем в 60 странах мира. Как правило, в зарубежных странах государственно-частным партнерством обычно называют довольно большой ассортимент бизнес — образцов и отношений. Данное понятие применяется при любых вариантах использования ресурсов частного капитала для удовлетворения общественно значимых потребностей. Первые места в области применения всевозможных механизмов государственно-частного партнерства исследователи с уверенностью отдают таким державам, как Соединенные Штаты Америки, Великобритания, Франция и Германия. Говоря о Великобритании, где Государственно-частное партнерство получило широкое распространение, следует сказать, что эта форма хозяйствования трактуется там как «ключевой элемент стратегии правительства по обеспечению современного, высококачественного коммунального обслуживания и повышению конкурентоспособности страны» [5]. Исследуя проекты государственно-частного партнерства некоторых зарубежных стран, заключенных в государствах с разным экономическим развитием, можно сделать вывод, что государственно-частные партнерства успешно применяются в транспортной (автодороги, железные дороги, аэропорты, порты, трубопроводный транспорт) и социальной инфраструктуре (здравоохранение, образование, развлечение туризм), ЖКХ (водоснабжение, электроснабжение, очистка воды, газоснабжение и иные) и других сферах (тюрьмы, оборона, объекты военной техники и так далее). Лидирующей является транспортная инфраструктура, второе место занимает социальная инфраструктура. В конце 20 века в мире наблюдался пик увеличения применения механизма Государственно-частного партнерства. Данные Всемирного банка свидетельствуют о том, что в 1990 году в развивающихся странах и странах с переходной экономикой появилось около 2700 проектов государственно-частного партнерства. В конце 90-х годов 20 столетия данная форма получила новый толчок к развитию, что произошло благодаря выработанной стандартизации подходов к выбору проектов и определению основных приоритетов социальных потребностей. Тем не менее в мировой практике до сих пор типового соглашения государственно — частного партнерства не существует. Определено, что в нем должны быть закреплены позиции сторон — уровень обязательств государства и частных субъектов, право собственности на активы, распределение рисков, продолжительность по времени, источники финансирования и другие. В странах западной Европы за последние годы значительно возрастает развитие ГЧП-проектов. Государственно-частное партнерство наиболее востребовано общественным сектором, поскольку всегда есть потребность в модернизации уже изношенной инфраструктуры, обеспечении доступности услуг, экономии бюджета и так далее. Важное значение имеет определение наиболее приоритетных отраслей для применения Государственно-частного партнерства для каждой страны и региона. Привлечение инвестиций сразу во все отрасли экономики в полном объеме практически невозможно, к тому же существуют те отрасли, которые необходимо инвестировать в первую очередь. Так, например, в Великобритании, Германии, Италии, Канаде, Франции, Японии проекты транспортной инфраструктуры занимают далеко не первое место. На 1-м месте — здравоохранение, на 2-м — образование, на 3-м — автодороги. Исходя из зарубежного опыта использования ГЧП-проектов следует, что каждая страна имеет свою более приоритетную отрасль по использованию данного механизма. Во многом использование Государственно-частного партнерства в определенных отраслях обусловлено уровнем социально-экономического развитию государства. Так, по сравнению с общей картиной в странах «Большой семерки» (США, Великобритания, Германия, Италия, Канада, Франция, Япония) проекты транспортной инфраструктуры стоят не на 1-м месте. В странах «Большой семерки» на 1-м месте — здравоохранение (184 из 615 проектов), на 2-м месте — образование (138 проектов), на 3-м — автодороги (92 проекта). Таким образом, в странах с развитой рыночной экономикой, с высоким уровнем жизни населения, высокой производительностью труда, надежной социальной политикой, ГЧП — проекты в основном направлены в области образования, здравоохранения, социальной защиты населения и так далее. Как правило, подобное «распределение сил» продиктовано мудрой политикой государства, которое уже позаботилось об остальных сферах возможного применения Государственно-частного партнерства самостоятельно. В своей работе Е. Ю. Бондаренко указывает, что «концепция и механизмы государственно-частного партнерства в мировой практике применяются в основном для долговременного финансирования и управления объектами общественной инфраструктуры, в частности транспортом, жилищно-коммунальным хозяйством, здравоохранением, благоустройством и прочими» [3]. Формы государственно-частного партнерства напрямую зависят от того, насколько государство открыто для прямых инвестиции, а также от желания государства передавать инвесторам или национальным компаниям такие значительные активы, как земля и инфраструктура. Доказано, что в развивающихся странах и странах с переходной экономикой перечисленные отрасли (кроме автодорог) не являются приоритетными. В связи с более низким уровнем экономического развития, в таких странах самым приоритетным привлечения инвестиций с помощью государственно-частного партнерства будет являться транспортная инфраструктура (строительство и реконструкция автомобильных дорог, железных дорог и так далее). Так, в странах с переходной экономикой — страны Центральной и Восточной Европы (Болгария, Чехия, Венгрия, Хорватия, Польша, Румыния), страны Балтии (Латвия), страны СНГ (Украина) — отрасли здравоохранение и образование находятся уже далеко не на 1-м месте по применению государственно-частного партнерства. Лидерами являются автодороги, строительство мостов и тоннелей, легкого наземного метро, аэропортов. В странах с переходной экономикой им уделяется первоочередное внимание [1]. В развивающихся странах, к которым можно отнести Индию, Бразилию, Мексику, на первом месте применения механизма государственно-частного партнерства находятся автодороги, второе место занимают аэропорты, тюрьмы и водоочистные сооружения. Подобное распределение демонстрирует заинтересованность стран в развитии определенных отраслей и направлений (индивидуальных для каждого типа стран), поскольку механизм государственно-частного партнерства позволяет привлечь инвестиции бизнеса, снизив затраты государственного сектора и распределив риски между указанными субъектами [2]. В заключение скажем, что столь богатый опыт зарубежных государств, который к тому же подкреплен достаточным многообразием форм ГЧП, может являться эффективной поддержкой и платформой для внедрения механизмов взаимодействия государственной власти и субъектов частного бизнеса в России. Ориентация на Западные страны в совокупности с богатым потенциалом Российской Федерации, удачным образом способны развить одно из самых перспективных направлений на сегодняшний день — сферу государственно-частного партнерства, что принесет реальную пользу многонациональному населению нашего государства.</w:t>
      </w:r>
      <w:r w:rsidRPr="003455DD">
        <w:rPr>
          <w:rFonts w:ascii="Times New Roman" w:hAnsi="Times New Roman" w:cs="Times New Roman"/>
          <w:color w:val="333333"/>
          <w:sz w:val="28"/>
          <w:szCs w:val="28"/>
          <w:highlight w:val="yellow"/>
        </w:rPr>
        <w:br/>
      </w:r>
      <w:r w:rsidRPr="003455DD">
        <w:rPr>
          <w:rFonts w:ascii="Times New Roman" w:hAnsi="Times New Roman" w:cs="Times New Roman"/>
          <w:color w:val="333333"/>
          <w:sz w:val="28"/>
          <w:szCs w:val="28"/>
          <w:highlight w:val="yellow"/>
        </w:rPr>
        <w:br/>
      </w:r>
      <w:r w:rsidRPr="003455DD">
        <w:rPr>
          <w:rFonts w:ascii="Times New Roman" w:hAnsi="Times New Roman" w:cs="Times New Roman"/>
          <w:color w:val="333333"/>
          <w:sz w:val="28"/>
          <w:szCs w:val="28"/>
          <w:highlight w:val="yellow"/>
          <w:shd w:val="clear" w:color="auto" w:fill="F6F6F6"/>
        </w:rPr>
        <w:t>Пожалуйста, не забудьте правильно оформить цитату:</w:t>
      </w:r>
      <w:r w:rsidRPr="003455DD">
        <w:rPr>
          <w:rFonts w:ascii="Times New Roman" w:hAnsi="Times New Roman" w:cs="Times New Roman"/>
          <w:color w:val="333333"/>
          <w:sz w:val="28"/>
          <w:szCs w:val="28"/>
          <w:highlight w:val="yellow"/>
        </w:rPr>
        <w:br/>
      </w:r>
      <w:r w:rsidRPr="003455DD">
        <w:rPr>
          <w:rFonts w:ascii="Times New Roman" w:hAnsi="Times New Roman" w:cs="Times New Roman"/>
          <w:color w:val="333333"/>
          <w:sz w:val="28"/>
          <w:szCs w:val="28"/>
          <w:highlight w:val="yellow"/>
          <w:shd w:val="clear" w:color="auto" w:fill="F6F6F6"/>
        </w:rPr>
        <w:t>Семенчишин А. Н. Становление и развитие института государственно-частного партнерства в зарубежных странах // Молодой ученый. — 2017. — №52. — С. 167-171. — URL https://moluch.ru/archive/186/47497/ (дата обращения: 23.01.2020).</w:t>
      </w:r>
    </w:p>
    <w:p w:rsidR="00B942D2" w:rsidRDefault="00B942D2" w:rsidP="00B942D2">
      <w:pPr>
        <w:spacing w:line="360" w:lineRule="auto"/>
        <w:ind w:firstLine="708"/>
        <w:jc w:val="both"/>
        <w:rPr>
          <w:rFonts w:ascii="Times New Roman" w:hAnsi="Times New Roman" w:cs="Times New Roman"/>
          <w:color w:val="333333"/>
          <w:sz w:val="28"/>
          <w:szCs w:val="28"/>
          <w:shd w:val="clear" w:color="auto" w:fill="F6F6F6"/>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r>
        <w:rPr>
          <w:rFonts w:ascii="Arial" w:hAnsi="Arial" w:cs="Arial"/>
          <w:color w:val="000000"/>
          <w:sz w:val="23"/>
          <w:szCs w:val="23"/>
        </w:rPr>
        <w:t>Предметом работы является изучение зарубежного опыта стратегий, необходимых для осуществления успешных операций в сфере </w:t>
      </w:r>
      <w:r>
        <w:rPr>
          <w:rStyle w:val="hl"/>
          <w:rFonts w:ascii="BOLD" w:hAnsi="BOLD"/>
          <w:color w:val="000000"/>
          <w:sz w:val="23"/>
          <w:szCs w:val="23"/>
          <w:bdr w:val="none" w:sz="0" w:space="0" w:color="auto" w:frame="1"/>
          <w:shd w:val="clear" w:color="auto" w:fill="EEEEEE"/>
        </w:rPr>
        <w:t>государственно-частного партнёрства</w:t>
      </w:r>
      <w:r>
        <w:rPr>
          <w:rFonts w:ascii="Arial" w:hAnsi="Arial" w:cs="Arial"/>
          <w:color w:val="000000"/>
          <w:sz w:val="23"/>
          <w:szCs w:val="23"/>
        </w:rPr>
        <w:t xml:space="preserve"> в сложных рыночных условиях. Цель работы определение пути </w:t>
      </w:r>
      <w:r w:rsidRPr="0025522F">
        <w:rPr>
          <w:rFonts w:ascii="Times New Roman" w:hAnsi="Times New Roman" w:cs="Times New Roman"/>
          <w:color w:val="000000"/>
          <w:sz w:val="28"/>
          <w:szCs w:val="28"/>
        </w:rPr>
        <w:t>преобразования модели развития российской экономики и всего народного хозяйства, координации инновационной стратегии и политики государства и компаний, направленных к соблюдению требований инновационного устойчивого развития инфраструктуры на принципах государственно-частного партнерства и социальной ответственности бизнеса в широком смысле этого понятия. Методология проведения работы основывается на общенаучных принципах конкретности и объективности. Использованы такие общенаучные методы как анализ, систематизация, сравнительный анализ, описательный и логический методы. Результаты работы и область их применения. Изучен зарубежный опыт эффективного взаимодействия государства и частного бизнеса в реалиях современной рыночной экономики, исследованы принципы и формы их взаимодействия, осуществлен анализ мировой практики </w:t>
      </w:r>
      <w:r w:rsidRPr="0025522F">
        <w:rPr>
          <w:rStyle w:val="hl"/>
          <w:rFonts w:ascii="Times New Roman" w:hAnsi="Times New Roman" w:cs="Times New Roman"/>
          <w:color w:val="000000"/>
          <w:sz w:val="28"/>
          <w:szCs w:val="28"/>
          <w:bdr w:val="none" w:sz="0" w:space="0" w:color="auto" w:frame="1"/>
          <w:shd w:val="clear" w:color="auto" w:fill="EEEEEE"/>
        </w:rPr>
        <w:t>государственно-частного партнёрства</w:t>
      </w:r>
      <w:r w:rsidRPr="0025522F">
        <w:rPr>
          <w:rFonts w:ascii="Times New Roman" w:hAnsi="Times New Roman" w:cs="Times New Roman"/>
          <w:color w:val="000000"/>
          <w:sz w:val="28"/>
          <w:szCs w:val="28"/>
        </w:rPr>
        <w:t>, выявлены проблемные аспекты этого взаимодействия. Исследования механизма государственночастного партнёрства позволяют повысить эффективность партнерства властей и бизнеса в деле формирования развитой инфраструктуры экономики, перейти к новой концепции отношений бизнеса и государства. Выводы. </w:t>
      </w:r>
      <w:r w:rsidRPr="0025522F">
        <w:rPr>
          <w:rStyle w:val="hl"/>
          <w:rFonts w:ascii="Times New Roman" w:hAnsi="Times New Roman" w:cs="Times New Roman"/>
          <w:color w:val="000000"/>
          <w:sz w:val="28"/>
          <w:szCs w:val="28"/>
          <w:bdr w:val="none" w:sz="0" w:space="0" w:color="auto" w:frame="1"/>
          <w:shd w:val="clear" w:color="auto" w:fill="EEEEEE"/>
        </w:rPr>
        <w:t>Государственно-частные партнёрства</w:t>
      </w:r>
      <w:r w:rsidRPr="0025522F">
        <w:rPr>
          <w:rFonts w:ascii="Times New Roman" w:hAnsi="Times New Roman" w:cs="Times New Roman"/>
          <w:color w:val="000000"/>
          <w:sz w:val="28"/>
          <w:szCs w:val="28"/>
        </w:rPr>
        <w:t>реализуют незадействованный потенциал частного сектора в целях расширения доступа, повышения качества и эффективности государственных услуг, «не обременяя» в дальнейшем государственные финансы, способствуют совершенствованию управления государственным имуществом и увеличению финансовой отдачи от государственных экономических и иных активов. Мировой рынок государственно-частного партнерства имеет большие перспективы и значительный потенциал. Самыми привлекательными и широко распространенными сферами приложения ГЧП являются инфраструктурные </w:t>
      </w:r>
      <w:r w:rsidRPr="0025522F">
        <w:rPr>
          <w:rStyle w:val="hl"/>
          <w:rFonts w:ascii="Times New Roman" w:hAnsi="Times New Roman" w:cs="Times New Roman"/>
          <w:color w:val="000000"/>
          <w:sz w:val="28"/>
          <w:szCs w:val="28"/>
          <w:bdr w:val="none" w:sz="0" w:space="0" w:color="auto" w:frame="1"/>
          <w:shd w:val="clear" w:color="auto" w:fill="EEEEEE"/>
        </w:rPr>
        <w:t>концессии</w:t>
      </w:r>
      <w:r w:rsidRPr="0025522F">
        <w:rPr>
          <w:rFonts w:ascii="Times New Roman" w:hAnsi="Times New Roman" w:cs="Times New Roman"/>
          <w:color w:val="000000"/>
          <w:sz w:val="28"/>
          <w:szCs w:val="28"/>
        </w:rPr>
        <w:t> и инвестиции в транспортное строительство и дороги. В этих сферах проще и легче заключать соглашения о </w:t>
      </w:r>
      <w:r w:rsidRPr="0025522F">
        <w:rPr>
          <w:rStyle w:val="hl"/>
          <w:rFonts w:ascii="Times New Roman" w:hAnsi="Times New Roman" w:cs="Times New Roman"/>
          <w:color w:val="000000"/>
          <w:sz w:val="28"/>
          <w:szCs w:val="28"/>
          <w:bdr w:val="none" w:sz="0" w:space="0" w:color="auto" w:frame="1"/>
          <w:shd w:val="clear" w:color="auto" w:fill="EEEEEE"/>
        </w:rPr>
        <w:t>концессии</w:t>
      </w:r>
      <w:r w:rsidRPr="0025522F">
        <w:rPr>
          <w:rFonts w:ascii="Times New Roman" w:hAnsi="Times New Roman" w:cs="Times New Roman"/>
          <w:color w:val="000000"/>
          <w:sz w:val="28"/>
          <w:szCs w:val="28"/>
        </w:rPr>
        <w:t>, и эти отрасли заинтересованы в притоке значительных частных инвестиций. Однако при внедрении мегапроектов есть также значительные риски, связанные с неправильной оценкой расходов и условиями ввода в действие проекта, конкуренции со стороны альтернативных объектов, неоднозначности финансовой стабильности проекта и возможных рисков для концессионеров.</w:t>
      </w: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Pr="0025522F" w:rsidRDefault="00B942D2" w:rsidP="00B942D2">
      <w:pPr>
        <w:spacing w:line="360" w:lineRule="auto"/>
        <w:ind w:firstLine="708"/>
        <w:jc w:val="both"/>
        <w:rPr>
          <w:rFonts w:ascii="Times New Roman" w:hAnsi="Times New Roman" w:cs="Times New Roman"/>
          <w:color w:val="000000"/>
          <w:sz w:val="28"/>
          <w:szCs w:val="28"/>
        </w:rPr>
      </w:pPr>
    </w:p>
    <w:p w:rsidR="00B942D2" w:rsidRDefault="00B942D2" w:rsidP="00B942D2">
      <w:pPr>
        <w:spacing w:line="360" w:lineRule="auto"/>
        <w:ind w:firstLine="708"/>
        <w:jc w:val="both"/>
        <w:rPr>
          <w:rFonts w:ascii="Times New Roman" w:hAnsi="Times New Roman" w:cs="Times New Roman"/>
          <w:sz w:val="28"/>
          <w:szCs w:val="28"/>
          <w:lang w:val="en-US"/>
        </w:rPr>
      </w:pPr>
      <w:r w:rsidRPr="0025522F">
        <w:rPr>
          <w:rFonts w:ascii="Times New Roman" w:hAnsi="Times New Roman" w:cs="Times New Roman"/>
          <w:sz w:val="28"/>
          <w:szCs w:val="28"/>
        </w:rPr>
        <w:t>В данной статье рассмотрен зарубежный опыт финансирования ГЧП, опыт финансирования инфраструктурных проектов, на примере США, Австралии, Китая, Индии и России. Определены приоритетные способы финансирования ГЧП, которые могут быть заимствованы для России из зарубежной практики. Ключевые слова Государственно-частное партнерство, финансирование, инвесторы, инфраструктурные проекты, финансовый рынок. Актуальность темы обусловлена тем, что современный этап развития мировой экономики, характеризующийся усилением глобализации, а также с другими сложными кризисами, ростом безработицы, огромной разницей в уровне социально-экономического развития отдельных стран и регионов, требует нового уровня управления, развития институтов развития, новых политических, экономических, правовых и институциональных современных регуляторов. Экономика разных стран развивается по-разному, некоторые регионы используют рыночные механизмы в их чистом виде. Одна из перспектив развития отношений между государством и частным сектором – государственно-частное партнерство (далее – ГЧП). Цель исследования – определить особенности финансирования ГЧП в зарубежных странах. Объект исследования – система финансирования инфраструктурных проектов (ГЧП). Предмет исследования – взаимоотношения участников реализации инфраструктурных проектов, финансируемых совместно государством и частными инвесторами. В мировой практике существуют примеры успешного применения механизма эмиссии инфраструктурных облигаций для финансирования реальных проектов. В США инфраструктурные облигации выпускаются на уровне муниципалитетов и носят название специальных целевых облигаций. Эмитируются облигации как общего покрытия (general bonds), так и обеспеченные денежными потоками от конкретных проектов строительства объектов инфраструктуры (revenue bonds). В последние годы в мировой практике активно развивается финансирование инфраструктурных проектов за счет акционирования. С целью привлечения инвестиций в странах с преимущественно развитой экономикой создаются инфраструктурные фонды, которые занимают уже 2% в общей структуре инвестиционных фондов. Крупнейшим мировым инвестором в развитие транспортной инфраструктуры является Китай, вкладывающий в инфраструктурные проекты суммы, эквивалентные 8% национального ВВП. В структуре финансирования объектов транспортной инфраструктуры Индии основная ставка ISSN 2410-6070 ИННОВАЦИОННАЯ НАУКА №5 / 2019 ~ 101 ~ делается на частный капитал. В качестве набирающих популярность инструментов финансирования инфраструктурных проектов следует обратить внимание на вендорные и LBO-кредиты. LBO (Leveraged buyout) - это сделка, при которой инвестор покупает контрольный пакет акций некой компании и при этом большая часть средств, необходимых для покупки, привлекается им в виде кредита. Такого рода кредиты привлекаются от банков или на рынках долгового капитала. Источником выплаты процентов и погашения самого кредита являются денежные потоки покупаемой компании. Обеспечением по такому кредиту выступают активы покупаемого бизнеса, и иногда активы покупающей компании. Обычно доля долгового финансирования в общем объеме средств, необходимых для покупки, лежит в пределах 50%-70%. Наиболее вероятными объектами LBO являются компании с достаточно хорошим кредитным рейтингом. В таком случае стабильный денежный поток, низкий финансовый рычаг в текущий момент, предсказуемый уровень капитальных затрат являются положительными факторами в принятии решения о финансируемом выкупе. Также идет борьба за привлечение в инфраструктурное строительство средств пенсионных фондов, страховых компаний и фондов национального благосостояния. Финансирование инфраструктурных проектов за счет облигаций имеет как преимущества, так и недостатки. К преимуществам следует отнести в первую очередь более низкую стоимость заимствований и возможность привлечения к финансированию целый ряд частных и институциональных инвесторов. В мировой практике существуют примеры успешного применения механизма эмиссии инфраструктурных облигаций для финансирования реальных проектов. В США инфраструктурные облигации выпускаются на уровне муниципалитетов и носят название специальных целевых облигаций. Эмитируются облигации как общего покрытия (general bonds), так и обеспеченные денежными потоками от конкретных проектов строительства объектов инфраструктуры (revenue bonds). Доходы от муниципальных облигаций в США, как правило, не облагаются налогами, что создает дополнительную привлекательность для инвесторов. Также примером успешного применения инфраструктурных облигаций может служить Австралия. Данный вид облигаций выпускается правительством под финансирование заранее оговоренного в законодательстве списка инфраструктурных объектов: наземный и воздушный транспорт, электроэнергетика, газо- и водоснабжение, канализационные сооружения. В Европе инфраструктурные облигации выпускались Францией для финансирования проектов строительства стадионов во время подготовки к чемпионату мира по футболу 1998 года. В структуре финансирования объектов транспортной инфраструктуры Индии основная ставка делается на частный капитал. Доля средств государственного бюджета и правительственных займов в объеме инфраструктурных инвестиций составляет немногим более 35%. Инфраструктурные проекты финансируют в большей степени коммерческие банки, небанковские финансовые организации и страховые компании. С целью увеличения привлекательности инфраструктурных инвестиций в Индии применяется ряд налоговых преференций. Так, доходы от инфраструктурных облигаций не облагаются налогами, а компании, основная деятельность которых сосредоточена в сфере развития инфраструктуры, получают налоговые каникулы сроком на 10 лет. Крупнейшим же мировым инвестором в развитие транспортной инфраструктуры является Китай, вкладывающий в инфраструктурные проекты суммы, эквивалентные 8% национального ВВП. Основные объекты транспортной инфраструктуры в Китае — автомобильные и железные дороги, причем развитие железных дорог лежит в основе концепции «Нового шелкового пути» — амбициозного проекта, который призван дать новый импульс китайской экономике и расширить мировое влияние Китая. Если же говорить о финансировании ГЧП в России, к примеру, в транспортной сфере, можн</w:t>
      </w:r>
      <w:r>
        <w:rPr>
          <w:rFonts w:ascii="Times New Roman" w:hAnsi="Times New Roman" w:cs="Times New Roman"/>
          <w:sz w:val="28"/>
          <w:szCs w:val="28"/>
        </w:rPr>
        <w:t xml:space="preserve">о отметить </w:t>
      </w:r>
      <w:r w:rsidRPr="0025522F">
        <w:rPr>
          <w:rFonts w:ascii="Times New Roman" w:hAnsi="Times New Roman" w:cs="Times New Roman"/>
          <w:sz w:val="28"/>
          <w:szCs w:val="28"/>
        </w:rPr>
        <w:t>следующие показатели (рис. 1). Рисунок 1 – Объем инвестиций по объектам транспортной инфраструктуры в России 2018 год, млн.руб. Как показывает опыт, выпуск правительствами этих стран долговых гарантий искажает структуру стимулов для частного капитала и приводит, в конечном итоге, к еще большему риску неплатежеспособности. Принятие же правительствами стран слишком больших рисков обуславливает повышение давления на налогоплательщиков. Отсутствие в некоторых странах из указанных регионов макроэкономической стабильности, приводящей к инфляции или отсутствию стабильности цен, также уменьшает шансы успешной реализации проекта ГЧП, поскольку реальные доходы оказываются существенно ниже понесенных затрат. Резюмируя описанный международный опыт размещения инфраструктурных облигаций, хочется выделить следующие аспекты, которые представляются полезными для внедрения аналогичных инструментов на российском финансовом рынке: • инфраструктурные облигации имеют значительный период до погашения – от 5 до 30 лет (как правило, период до погашения варьируется в диапазоне 15–20 лет); • облигации обеспечены главным образом государственными гарантиями (государственные гарантии могут заменяться поручительствами, гарантиями и страховками «квазигосударственных» институтов, таких как банки развития, специализированные агентства, финансовые организации и т. д.); • инвесторами в инфраструктурные облигации выступают преимущественно пенсионные фонды, банки развития и коммерческие банки, инвестиционные фонды. В структуре капитала основных приобретателей инфраструктурных облигаций зачастую присутствует государство; • эмиссия инфраструктурных облигаций происходит в основном в рамках реализации механизма ГЧП или его аналогов (в ряде стран – механизма концессии); • при выпуске инфраструктурных облигаций необходим прозрачный механизм контроля над целевым использованием привлеченных средств Таким образом, международный опыт применения облигаций для организации финансирования проектов строительства и модернизации транспортной инфраструктуры позволяет утверждать, что данный канал привлечения инвестиций является наиболее перспективным для России. Развитие рынка инфраструктурных облигаций в России не только позволит увеличить инвестиционный потенциал транспортной отрасли страны, но и будет способствовать решению другой стратегической задачи модернизации российской экономики – укрепления внутреннего финансового рынка. Список использованной литературы: 1. Государственно-частное партнерство: зарубежный опыт проектного финансирования. Сборник статей. Никонова И.А., Ярыгина И.З., ред. М.: Кнорус; 2018;(2). 268 с. 2. Журавлёв К.В. Международные транспортные коридоры и их значение для России // Экономическая наука сегодня: теория и практика: материалы V Междунар. науч.–практ. конф. (Чебоксары, 3 дек. 2017 г.) / редкол.: О.Н. Широков [и др.] – Чебоксары: ЦНС «Интерактив плюс», 2017. – С. 193-197 3. Мочалышков В.Н. Государственно-частное партнерство: отечественный опыт, мировые тенденции, вектор развития для России. Москва</w:t>
      </w:r>
      <w:r w:rsidRPr="0025522F">
        <w:rPr>
          <w:rFonts w:ascii="Times New Roman" w:hAnsi="Times New Roman" w:cs="Times New Roman"/>
          <w:sz w:val="28"/>
          <w:szCs w:val="28"/>
          <w:lang w:val="en-US"/>
        </w:rPr>
        <w:t xml:space="preserve">: </w:t>
      </w:r>
      <w:r w:rsidRPr="0025522F">
        <w:rPr>
          <w:rFonts w:ascii="Times New Roman" w:hAnsi="Times New Roman" w:cs="Times New Roman"/>
          <w:sz w:val="28"/>
          <w:szCs w:val="28"/>
        </w:rPr>
        <w:t>Экономика</w:t>
      </w:r>
      <w:r w:rsidRPr="0025522F">
        <w:rPr>
          <w:rFonts w:ascii="Times New Roman" w:hAnsi="Times New Roman" w:cs="Times New Roman"/>
          <w:sz w:val="28"/>
          <w:szCs w:val="28"/>
          <w:lang w:val="en-US"/>
        </w:rPr>
        <w:t xml:space="preserve">, 2017. – 351 </w:t>
      </w:r>
      <w:r w:rsidRPr="0025522F">
        <w:rPr>
          <w:rFonts w:ascii="Times New Roman" w:hAnsi="Times New Roman" w:cs="Times New Roman"/>
          <w:sz w:val="28"/>
          <w:szCs w:val="28"/>
        </w:rPr>
        <w:t>с</w:t>
      </w:r>
      <w:r w:rsidRPr="0025522F">
        <w:rPr>
          <w:rFonts w:ascii="Times New Roman" w:hAnsi="Times New Roman" w:cs="Times New Roman"/>
          <w:sz w:val="28"/>
          <w:szCs w:val="28"/>
          <w:lang w:val="en-US"/>
        </w:rPr>
        <w:t xml:space="preserve">. Nagesha G., Gayithri K. A Research Note on the Public-Private Partnership of India’s ISSN 2410-6070 </w:t>
      </w:r>
      <w:r w:rsidRPr="0025522F">
        <w:rPr>
          <w:rFonts w:ascii="Times New Roman" w:hAnsi="Times New Roman" w:cs="Times New Roman"/>
          <w:sz w:val="28"/>
          <w:szCs w:val="28"/>
        </w:rPr>
        <w:t>ИННОВАЦИОННАЯ</w:t>
      </w:r>
      <w:r w:rsidRPr="0025522F">
        <w:rPr>
          <w:rFonts w:ascii="Times New Roman" w:hAnsi="Times New Roman" w:cs="Times New Roman"/>
          <w:sz w:val="28"/>
          <w:szCs w:val="28"/>
          <w:lang w:val="en-US"/>
        </w:rPr>
        <w:t xml:space="preserve"> </w:t>
      </w:r>
      <w:r w:rsidRPr="0025522F">
        <w:rPr>
          <w:rFonts w:ascii="Times New Roman" w:hAnsi="Times New Roman" w:cs="Times New Roman"/>
          <w:sz w:val="28"/>
          <w:szCs w:val="28"/>
        </w:rPr>
        <w:t>НАУКА</w:t>
      </w:r>
      <w:r w:rsidRPr="0025522F">
        <w:rPr>
          <w:rFonts w:ascii="Times New Roman" w:hAnsi="Times New Roman" w:cs="Times New Roman"/>
          <w:sz w:val="28"/>
          <w:szCs w:val="28"/>
          <w:lang w:val="en-US"/>
        </w:rPr>
        <w:t xml:space="preserve"> №5 / 2019 ~ 103 ~ Infrastructure Development // Journal of Infrastructure Development. 2014. Vol. 6. No 2. P. 111–129. Della Croce R., Sharma R. Pooling of Institutional Investors Capital: Selected Case Studies in Unlisted Equity Infrastructure. OECD, 2014. Available at: </w:t>
      </w:r>
      <w:hyperlink r:id="rId7" w:history="1">
        <w:r w:rsidRPr="003B381C">
          <w:rPr>
            <w:rStyle w:val="a5"/>
            <w:rFonts w:ascii="Times New Roman" w:hAnsi="Times New Roman" w:cs="Times New Roman"/>
            <w:sz w:val="28"/>
            <w:szCs w:val="28"/>
            <w:lang w:val="en-US"/>
          </w:rPr>
          <w:t>http://www.oecd.org/finance/OECD-Pooling-Institutional-InvestorsCapital-Unlisted-Equity-Infrastructure.pdf</w:t>
        </w:r>
      </w:hyperlink>
      <w:r w:rsidRPr="0025522F">
        <w:rPr>
          <w:rFonts w:ascii="Times New Roman" w:hAnsi="Times New Roman" w:cs="Times New Roman"/>
          <w:sz w:val="28"/>
          <w:szCs w:val="28"/>
          <w:lang w:val="en-US"/>
        </w:rPr>
        <w:t>.</w:t>
      </w:r>
    </w:p>
    <w:p w:rsidR="00B942D2" w:rsidRDefault="00B942D2" w:rsidP="00B942D2">
      <w:pPr>
        <w:spacing w:line="360" w:lineRule="auto"/>
        <w:ind w:firstLine="708"/>
        <w:jc w:val="both"/>
        <w:rPr>
          <w:rFonts w:ascii="Times New Roman" w:hAnsi="Times New Roman" w:cs="Times New Roman"/>
          <w:sz w:val="28"/>
          <w:szCs w:val="28"/>
          <w:lang w:val="en-US"/>
        </w:rPr>
      </w:pP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На конец года в </w:t>
      </w:r>
      <w:r w:rsidRPr="00D50809">
        <w:rPr>
          <w:rFonts w:ascii="Arial" w:eastAsia="Times New Roman" w:hAnsi="Arial" w:cs="Arial"/>
          <w:color w:val="565656"/>
          <w:sz w:val="30"/>
          <w:szCs w:val="30"/>
          <w:bdr w:val="none" w:sz="0" w:space="0" w:color="auto" w:frame="1"/>
          <w:lang w:eastAsia="ru-RU"/>
        </w:rPr>
        <w:t>России</w:t>
      </w:r>
      <w:r w:rsidRPr="00D50809">
        <w:rPr>
          <w:rFonts w:ascii="Arial" w:eastAsia="Times New Roman" w:hAnsi="Arial" w:cs="Arial"/>
          <w:color w:val="333333"/>
          <w:sz w:val="30"/>
          <w:szCs w:val="30"/>
          <w:lang w:eastAsia="ru-RU"/>
        </w:rPr>
        <w:t> насчитывается 3601 ГЧП-проект в различных формах и на разных стадиях реализации. Совокупный объем привлекаемых инвестиций составляет 3,9 трлн руб., из которых 2,8 трлн руб. – средства частных инвесторов. В уходящем году более 200 крупных и средних ГЧП-проектов прошли стадию коммерческого закрытия. Общий объем законтрактованных инвестиций в ГЧП-проектах оценивается примерно в 600 млрд руб.</w:t>
      </w: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ГЧП начало проникать в новые сферы. В мае на полях </w:t>
      </w:r>
      <w:r w:rsidRPr="00D50809">
        <w:rPr>
          <w:rFonts w:ascii="Arial" w:eastAsia="Times New Roman" w:hAnsi="Arial" w:cs="Arial"/>
          <w:color w:val="565656"/>
          <w:sz w:val="30"/>
          <w:szCs w:val="30"/>
          <w:bdr w:val="none" w:sz="0" w:space="0" w:color="auto" w:frame="1"/>
          <w:lang w:eastAsia="ru-RU"/>
        </w:rPr>
        <w:t>ПМЭФ</w:t>
      </w:r>
      <w:r w:rsidRPr="00D50809">
        <w:rPr>
          <w:rFonts w:ascii="Arial" w:eastAsia="Times New Roman" w:hAnsi="Arial" w:cs="Arial"/>
          <w:color w:val="333333"/>
          <w:sz w:val="30"/>
          <w:szCs w:val="30"/>
          <w:lang w:eastAsia="ru-RU"/>
        </w:rPr>
        <w:t> было заключено первое федеральное СГЧП (по 224-ФЗ) </w:t>
      </w:r>
      <w:r w:rsidRPr="00D50809">
        <w:rPr>
          <w:rFonts w:ascii="Arial" w:eastAsia="Times New Roman" w:hAnsi="Arial" w:cs="Arial"/>
          <w:b/>
          <w:bCs/>
          <w:color w:val="333333"/>
          <w:sz w:val="30"/>
          <w:szCs w:val="30"/>
          <w:lang w:eastAsia="ru-RU"/>
        </w:rPr>
        <w:t>в области IT-инфраструктуры</w:t>
      </w:r>
      <w:r w:rsidRPr="00D50809">
        <w:rPr>
          <w:rFonts w:ascii="Arial" w:eastAsia="Times New Roman" w:hAnsi="Arial" w:cs="Arial"/>
          <w:color w:val="333333"/>
          <w:sz w:val="30"/>
          <w:szCs w:val="30"/>
          <w:lang w:eastAsia="ru-RU"/>
        </w:rPr>
        <w:t>. Частные инвесторы привлекались для решения </w:t>
      </w:r>
      <w:r w:rsidRPr="00D50809">
        <w:rPr>
          <w:rFonts w:ascii="Arial" w:eastAsia="Times New Roman" w:hAnsi="Arial" w:cs="Arial"/>
          <w:b/>
          <w:bCs/>
          <w:color w:val="333333"/>
          <w:sz w:val="30"/>
          <w:szCs w:val="30"/>
          <w:lang w:eastAsia="ru-RU"/>
        </w:rPr>
        <w:t>транспортных</w:t>
      </w:r>
      <w:r w:rsidRPr="00D50809">
        <w:rPr>
          <w:rFonts w:ascii="Arial" w:eastAsia="Times New Roman" w:hAnsi="Arial" w:cs="Arial"/>
          <w:color w:val="333333"/>
          <w:sz w:val="30"/>
          <w:szCs w:val="30"/>
          <w:lang w:eastAsia="ru-RU"/>
        </w:rPr>
        <w:t> проблем страны, в том числе и для реализации проектов комплексного плана развития магистральной инфраструктуры. Не менее успешным оказался год и для финансирования уже подписанных соглашений, в частности, по проекту создания инфраструктуры порта </w:t>
      </w:r>
      <w:r w:rsidRPr="00D50809">
        <w:rPr>
          <w:rFonts w:ascii="Arial" w:eastAsia="Times New Roman" w:hAnsi="Arial" w:cs="Arial"/>
          <w:color w:val="565656"/>
          <w:sz w:val="30"/>
          <w:szCs w:val="30"/>
          <w:bdr w:val="none" w:sz="0" w:space="0" w:color="auto" w:frame="1"/>
          <w:lang w:eastAsia="ru-RU"/>
        </w:rPr>
        <w:t>Мурманска</w:t>
      </w:r>
      <w:r w:rsidRPr="00D50809">
        <w:rPr>
          <w:rFonts w:ascii="Arial" w:eastAsia="Times New Roman" w:hAnsi="Arial" w:cs="Arial"/>
          <w:color w:val="333333"/>
          <w:sz w:val="30"/>
          <w:szCs w:val="30"/>
          <w:lang w:eastAsia="ru-RU"/>
        </w:rPr>
        <w:t>, строительства автодороги «Виноградово – Болтино – Тарасовка», также открыты кредитные линии для строительства моста через Обь в </w:t>
      </w:r>
      <w:r w:rsidRPr="00D50809">
        <w:rPr>
          <w:rFonts w:ascii="Arial" w:eastAsia="Times New Roman" w:hAnsi="Arial" w:cs="Arial"/>
          <w:color w:val="565656"/>
          <w:sz w:val="30"/>
          <w:szCs w:val="30"/>
          <w:bdr w:val="none" w:sz="0" w:space="0" w:color="auto" w:frame="1"/>
          <w:lang w:eastAsia="ru-RU"/>
        </w:rPr>
        <w:t>Новосибирске</w:t>
      </w:r>
      <w:r w:rsidRPr="00D50809">
        <w:rPr>
          <w:rFonts w:ascii="Arial" w:eastAsia="Times New Roman" w:hAnsi="Arial" w:cs="Arial"/>
          <w:color w:val="333333"/>
          <w:sz w:val="30"/>
          <w:szCs w:val="30"/>
          <w:lang w:eastAsia="ru-RU"/>
        </w:rPr>
        <w:t>, предоставлено финансирование на четвертый участок Центральной кольцевой автодороги.</w:t>
      </w:r>
    </w:p>
    <w:p w:rsidR="00B942D2" w:rsidRPr="00D50809" w:rsidRDefault="00B942D2" w:rsidP="00B942D2">
      <w:pPr>
        <w:shd w:val="clear" w:color="auto" w:fill="F9F9F9"/>
        <w:spacing w:after="240" w:line="240" w:lineRule="auto"/>
        <w:textAlignment w:val="baseline"/>
        <w:rPr>
          <w:rFonts w:ascii="Arial" w:eastAsia="Times New Roman" w:hAnsi="Arial" w:cs="Arial"/>
          <w:color w:val="333333"/>
          <w:sz w:val="30"/>
          <w:szCs w:val="30"/>
          <w:lang w:eastAsia="ru-RU"/>
        </w:rPr>
      </w:pPr>
      <w:r w:rsidRPr="00D50809">
        <w:rPr>
          <w:rFonts w:ascii="Arial" w:eastAsia="Times New Roman" w:hAnsi="Arial" w:cs="Arial"/>
          <w:color w:val="333333"/>
          <w:sz w:val="30"/>
          <w:szCs w:val="30"/>
          <w:lang w:eastAsia="ru-RU"/>
        </w:rPr>
        <w:t>При этом ряд транспортных проектов попали в так называемый </w:t>
      </w:r>
      <w:r w:rsidRPr="00D50809">
        <w:rPr>
          <w:rFonts w:ascii="Arial" w:eastAsia="Times New Roman" w:hAnsi="Arial" w:cs="Arial"/>
          <w:b/>
          <w:bCs/>
          <w:color w:val="333333"/>
          <w:sz w:val="30"/>
          <w:szCs w:val="30"/>
          <w:lang w:eastAsia="ru-RU"/>
        </w:rPr>
        <w:t>«стоп-лист»</w:t>
      </w:r>
      <w:r w:rsidRPr="00D50809">
        <w:rPr>
          <w:rFonts w:ascii="Arial" w:eastAsia="Times New Roman" w:hAnsi="Arial" w:cs="Arial"/>
          <w:color w:val="333333"/>
          <w:sz w:val="30"/>
          <w:szCs w:val="30"/>
          <w:lang w:eastAsia="ru-RU"/>
        </w:rPr>
        <w:t>, их дальнейшая судьба пока неизвестна. Речь идет о строительстве Восточного выезда из </w:t>
      </w:r>
      <w:r w:rsidRPr="00D50809">
        <w:rPr>
          <w:rFonts w:ascii="Arial" w:eastAsia="Times New Roman" w:hAnsi="Arial" w:cs="Arial"/>
          <w:color w:val="565656"/>
          <w:sz w:val="30"/>
          <w:szCs w:val="30"/>
          <w:bdr w:val="none" w:sz="0" w:space="0" w:color="auto" w:frame="1"/>
          <w:lang w:eastAsia="ru-RU"/>
        </w:rPr>
        <w:t>Уфы</w:t>
      </w:r>
      <w:r w:rsidRPr="00D50809">
        <w:rPr>
          <w:rFonts w:ascii="Arial" w:eastAsia="Times New Roman" w:hAnsi="Arial" w:cs="Arial"/>
          <w:color w:val="333333"/>
          <w:sz w:val="30"/>
          <w:szCs w:val="30"/>
          <w:lang w:eastAsia="ru-RU"/>
        </w:rPr>
        <w:t> - одного из крупнейших и дорогостоящих проектов в </w:t>
      </w:r>
      <w:r w:rsidRPr="00D50809">
        <w:rPr>
          <w:rFonts w:ascii="Arial" w:eastAsia="Times New Roman" w:hAnsi="Arial" w:cs="Arial"/>
          <w:color w:val="565656"/>
          <w:sz w:val="30"/>
          <w:szCs w:val="30"/>
          <w:bdr w:val="none" w:sz="0" w:space="0" w:color="auto" w:frame="1"/>
          <w:lang w:eastAsia="ru-RU"/>
        </w:rPr>
        <w:t>Республике Башкортостан</w:t>
      </w:r>
      <w:r w:rsidRPr="00D50809">
        <w:rPr>
          <w:rFonts w:ascii="Arial" w:eastAsia="Times New Roman" w:hAnsi="Arial" w:cs="Arial"/>
          <w:color w:val="333333"/>
          <w:sz w:val="30"/>
          <w:szCs w:val="30"/>
          <w:lang w:eastAsia="ru-RU"/>
        </w:rPr>
        <w:t>стоимостью 34 млрд руб. В этом году его реализация приостановлена, ведутся переговоры о согласовании новых условий с целью снижения бюджетной нагрузки. Подобная ситуация и с железнодорожной линией Бованенково — Сабетта. В августе группа «ВИС» и </w:t>
      </w:r>
      <w:r w:rsidRPr="00D50809">
        <w:rPr>
          <w:rFonts w:ascii="Arial" w:eastAsia="Times New Roman" w:hAnsi="Arial" w:cs="Arial"/>
          <w:color w:val="565656"/>
          <w:sz w:val="30"/>
          <w:szCs w:val="30"/>
          <w:bdr w:val="none" w:sz="0" w:space="0" w:color="auto" w:frame="1"/>
          <w:lang w:eastAsia="ru-RU"/>
        </w:rPr>
        <w:t>правительство ЯНАО</w:t>
      </w:r>
      <w:r w:rsidRPr="00D50809">
        <w:rPr>
          <w:rFonts w:ascii="Arial" w:eastAsia="Times New Roman" w:hAnsi="Arial" w:cs="Arial"/>
          <w:color w:val="333333"/>
          <w:sz w:val="30"/>
          <w:szCs w:val="30"/>
          <w:lang w:eastAsia="ru-RU"/>
        </w:rPr>
        <w:t> приняли решение о расторжении СГЧП с целью его трансформации в федеральный СШХ-2 в рамках концессии. Дочерняя структура «ВИС» - «ВИС </w:t>
      </w:r>
      <w:r w:rsidRPr="00D50809">
        <w:rPr>
          <w:rFonts w:ascii="Arial" w:eastAsia="Times New Roman" w:hAnsi="Arial" w:cs="Arial"/>
          <w:color w:val="565656"/>
          <w:sz w:val="30"/>
          <w:szCs w:val="30"/>
          <w:bdr w:val="none" w:sz="0" w:space="0" w:color="auto" w:frame="1"/>
          <w:shd w:val="clear" w:color="auto" w:fill="E3E3E3"/>
          <w:lang w:eastAsia="ru-RU"/>
        </w:rPr>
        <w:t>ТрансСтрой</w:t>
      </w:r>
      <w:r w:rsidRPr="00D50809">
        <w:rPr>
          <w:rFonts w:ascii="Arial" w:eastAsia="Times New Roman" w:hAnsi="Arial" w:cs="Arial"/>
          <w:color w:val="333333"/>
          <w:sz w:val="30"/>
          <w:szCs w:val="30"/>
          <w:lang w:eastAsia="ru-RU"/>
        </w:rPr>
        <w:t>» - получила из бюджета региона около 937,4 млн руб. компенсации за понесенные расходы.</w:t>
      </w:r>
    </w:p>
    <w:p w:rsidR="00B942D2" w:rsidRDefault="00B942D2" w:rsidP="00B942D2">
      <w:pPr>
        <w:spacing w:line="360" w:lineRule="auto"/>
        <w:ind w:firstLine="708"/>
        <w:jc w:val="both"/>
        <w:rPr>
          <w:rFonts w:ascii="Times New Roman" w:hAnsi="Times New Roman" w:cs="Times New Roman"/>
          <w:sz w:val="28"/>
          <w:szCs w:val="28"/>
        </w:rPr>
      </w:pPr>
      <w:r>
        <w:rPr>
          <w:noProof/>
          <w:lang w:eastAsia="ru-RU"/>
        </w:rPr>
        <w:drawing>
          <wp:inline distT="0" distB="0" distL="0" distR="0" wp14:anchorId="6B7C19BD" wp14:editId="12F45EB9">
            <wp:extent cx="5940425" cy="4494530"/>
            <wp:effectExtent l="0" t="0" r="3175" b="1270"/>
            <wp:docPr id="2" name="Рисунок 2" descr="http://x.elitetrader.ru/img/clip8854213_35K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elitetrader.ru/img/clip8854213_35Kb.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40425" cy="4494530"/>
                    </a:xfrm>
                    <a:prstGeom prst="rect">
                      <a:avLst/>
                    </a:prstGeom>
                    <a:noFill/>
                    <a:ln>
                      <a:noFill/>
                    </a:ln>
                  </pic:spPr>
                </pic:pic>
              </a:graphicData>
            </a:graphic>
          </wp:inline>
        </w:drawing>
      </w: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B942D2" w:rsidRDefault="00B942D2" w:rsidP="00602BC6">
      <w:pPr>
        <w:spacing w:line="360" w:lineRule="auto"/>
        <w:ind w:firstLine="708"/>
        <w:jc w:val="both"/>
        <w:rPr>
          <w:rFonts w:ascii="Times New Roman" w:hAnsi="Times New Roman" w:cs="Times New Roman"/>
          <w:sz w:val="28"/>
          <w:szCs w:val="28"/>
        </w:rPr>
      </w:pP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СПИСОК ИСПОЛЬЗОВАННЫХ ИСТОЧНИКОВ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 Ахтариева Л.Г. Современные направления и инструменты частногосударственного партнерства в регионе / Л.Г. Ахтариева // Экономика и управление: Российский научный журнал. – 2014. – № 1/4. – С. 47–50.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2. Гусева М. С., Ильина А. А. Оценка реализации механизма государственно-частного партнерства в субъектах РФ: тенденции, проблемы и перспективы // Научно-методический журнал «Концепт». – 2015. – 25 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3. Еганян A. C. Государственно-частное партнерство в России /A. C. Еганян // Государственно-частное партнерство. Пути совершенствования законодательной базы: сб. науч. ст. / Под ред. A. A. Зверева. М. , 2015. – С. 48– 57.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4. Зельднер А. Г. Концептуальные основы становления и функционирования государственно-частного партнерства / А. Г. Зельднер. – М.: Институт экономики РАН, – 2010. 42с.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5. Иголкина Л. М. Государственно-частное партнерство. Особенности взаимодействия / Л. М. Иголкина // Теория и практика общественного развития. – 2013. – № 10. – С. 335–337.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6. Методические рекомендации по развитию институциональной среды в сфере государственно-частного партнерства в субъектах РФ : региональный стандарт / под ред. П. Л. Селезнёва. – Москва : Изд-во Центра развития ГЧП, 2014. – 52 с.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7.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 федер. закон от 13 июля 2015 г. № 224-ФЗ.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8. О концессионных соглашениях : феред. закон от 21 июля 2005 г. №115-ФЗ. 71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9. О министерстве экономического развития, инвестиционной политики и внешних связей Красноярского края : постановление Правительства Красноярского края от 23 декабря 2014 г. № 639-п. </w:t>
      </w:r>
    </w:p>
    <w:p w:rsidR="00272FD9" w:rsidRDefault="00272FD9" w:rsidP="00265401">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10. Об определении уполномоченного органа в сфере государственночастного партнерства в Красноярском крае : постановление Правительства Красноярского края от 29 янв. 2016 г. №30-п.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11. Пчелкина В. В. Региональные центры государственно-частного партнерства как институты инвестиционной инфраструктуры / В. В. Пчелкина // Вестник Чувашского университета. – 2013. – № 1. – С. 439–443</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12. Развитие институциональной среды для применения механизмов государственно-частного партнерства в субъектах РФ: метод. рекомендации / М. В. Ткаченко [и др.]. – Москва : Центр развития государственно-частного партнерства, 2014. – 32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13. Развитие государственно-частного партнерства в России в 2015– 2016 годах. Рейтинг регионов по уровню развития ГЧП» / Ассоциация «Центр развития ГЧП», Министерство экономического развития Российской Федерации. – М.: Ассоциация «Центр развития ГЧП», 2016. – 36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14. Развитие государственно-частного партнерства в России в 2014– 2015 годах. Рейтинг регионов по уровню развития ГЧП» / Ассоциация «Центр развития ГЧП», Министерство экономического развития Российской Федерации. – М.: Ассоциация «Центр развития ГЧП», 2016. – 36 с.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15. Развитие ГЧП в России становится системным [Электронный ресурс] : Торгово-промышленные ведомости / ТПП-Информ. – Электрон. журн. – Москва : Торгово-промышленная палата, 2016. – Режим доступа: </w:t>
      </w:r>
      <w:hyperlink r:id="rId9" w:history="1">
        <w:r w:rsidRPr="00A75BFD">
          <w:rPr>
            <w:rStyle w:val="a5"/>
            <w:rFonts w:ascii="Times New Roman" w:hAnsi="Times New Roman" w:cs="Times New Roman"/>
            <w:sz w:val="28"/>
            <w:szCs w:val="28"/>
          </w:rPr>
          <w:t>http://old.tpp-inform.ru/analytic_journal/4836.html</w:t>
        </w:r>
      </w:hyperlink>
      <w:r w:rsidRPr="00272FD9">
        <w:rPr>
          <w:rFonts w:ascii="Times New Roman" w:hAnsi="Times New Roman" w:cs="Times New Roman"/>
          <w:sz w:val="28"/>
          <w:szCs w:val="28"/>
        </w:rPr>
        <w:t xml:space="preserve">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16. Ромодина, И. В. Экономическая политика и управление экономическим развитием / И. В. Ромодина // Институциональная среда государственно-частного партнерства: опыт Пермского края. – 2015. – №3. – С. 28‒40. 72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 xml:space="preserve">17. Семина Е. М. Политико-правовая среда как фактор развития государственно-частного партнерства в России / Е. М. Семина // Успехи в химии и химической технологии. – 2014. – № 7. – С. 62–64 18. Сычева И. В. Исследование форм и механизмов государственночастного партнерства в мировой и отечественной практике / И. В. Сычева // Известия Тульского государственного университета. – 2012. – № 2. – С. 23–33 </w:t>
      </w:r>
    </w:p>
    <w:p w:rsidR="00272FD9" w:rsidRDefault="00272FD9" w:rsidP="00272FD9">
      <w:pPr>
        <w:ind w:firstLine="708"/>
        <w:jc w:val="both"/>
        <w:rPr>
          <w:rFonts w:ascii="Times New Roman" w:hAnsi="Times New Roman" w:cs="Times New Roman"/>
          <w:sz w:val="28"/>
          <w:szCs w:val="28"/>
        </w:rPr>
      </w:pPr>
      <w:r w:rsidRPr="00272FD9">
        <w:rPr>
          <w:rFonts w:ascii="Times New Roman" w:hAnsi="Times New Roman" w:cs="Times New Roman"/>
          <w:sz w:val="28"/>
          <w:szCs w:val="28"/>
        </w:rPr>
        <w:t>19. Федеральная служба государственной статистики [Электронный ресурс] : Режим доступа: http://www.gks.ru 20. Шмелева Е. В. Об основах государственно-частного партнерства в РФ / Е. В. Шмелева // Бизнес-журнал государственно-частное партнерство. – 2015. – № 5. – С. 15–18.</w:t>
      </w: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Default="00B942D2" w:rsidP="00272FD9">
      <w:pPr>
        <w:ind w:firstLine="708"/>
        <w:jc w:val="both"/>
        <w:rPr>
          <w:rFonts w:ascii="Times New Roman" w:hAnsi="Times New Roman" w:cs="Times New Roman"/>
          <w:sz w:val="28"/>
          <w:szCs w:val="28"/>
        </w:rPr>
      </w:pPr>
    </w:p>
    <w:p w:rsidR="00B942D2" w:rsidRPr="00272FD9" w:rsidRDefault="00B942D2" w:rsidP="00272FD9">
      <w:pPr>
        <w:ind w:firstLine="708"/>
        <w:jc w:val="both"/>
        <w:rPr>
          <w:rFonts w:ascii="Times New Roman" w:hAnsi="Times New Roman" w:cs="Times New Roman"/>
          <w:sz w:val="28"/>
          <w:szCs w:val="28"/>
        </w:rPr>
      </w:pPr>
    </w:p>
    <w:sectPr w:rsidR="00B942D2" w:rsidRPr="00272FD9" w:rsidSect="00096672">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4A67" w:rsidRDefault="00C04A67" w:rsidP="00B942D2">
      <w:pPr>
        <w:spacing w:after="0" w:line="240" w:lineRule="auto"/>
      </w:pPr>
      <w:r>
        <w:separator/>
      </w:r>
    </w:p>
  </w:endnote>
  <w:endnote w:type="continuationSeparator" w:id="0">
    <w:p w:rsidR="00C04A67" w:rsidRDefault="00C04A67" w:rsidP="00B942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OLD">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4A67" w:rsidRDefault="00C04A67" w:rsidP="00B942D2">
      <w:pPr>
        <w:spacing w:after="0" w:line="240" w:lineRule="auto"/>
      </w:pPr>
      <w:r>
        <w:separator/>
      </w:r>
    </w:p>
  </w:footnote>
  <w:footnote w:type="continuationSeparator" w:id="0">
    <w:p w:rsidR="00C04A67" w:rsidRDefault="00C04A67" w:rsidP="00B942D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403206"/>
      <w:docPartObj>
        <w:docPartGallery w:val="Page Numbers (Top of Page)"/>
        <w:docPartUnique/>
      </w:docPartObj>
    </w:sdtPr>
    <w:sdtEndPr>
      <w:rPr>
        <w:rFonts w:ascii="Times New Roman" w:hAnsi="Times New Roman" w:cs="Times New Roman"/>
        <w:sz w:val="28"/>
        <w:szCs w:val="28"/>
      </w:rPr>
    </w:sdtEndPr>
    <w:sdtContent>
      <w:p w:rsidR="00B942D2" w:rsidRPr="003A77D4" w:rsidRDefault="00096672">
        <w:pPr>
          <w:pStyle w:val="aa"/>
          <w:jc w:val="center"/>
          <w:rPr>
            <w:rFonts w:ascii="Times New Roman" w:hAnsi="Times New Roman" w:cs="Times New Roman"/>
            <w:sz w:val="28"/>
            <w:szCs w:val="28"/>
          </w:rPr>
        </w:pPr>
        <w:r>
          <w:t xml:space="preserve"> </w:t>
        </w:r>
        <w:r w:rsidR="00B942D2" w:rsidRPr="003A77D4">
          <w:rPr>
            <w:rFonts w:ascii="Times New Roman" w:hAnsi="Times New Roman" w:cs="Times New Roman"/>
            <w:sz w:val="28"/>
            <w:szCs w:val="28"/>
          </w:rPr>
          <w:fldChar w:fldCharType="begin"/>
        </w:r>
        <w:r w:rsidR="00B942D2" w:rsidRPr="003A77D4">
          <w:rPr>
            <w:rFonts w:ascii="Times New Roman" w:hAnsi="Times New Roman" w:cs="Times New Roman"/>
            <w:sz w:val="28"/>
            <w:szCs w:val="28"/>
          </w:rPr>
          <w:instrText>PAGE   \* MERGEFORMAT</w:instrText>
        </w:r>
        <w:r w:rsidR="00B942D2" w:rsidRPr="003A77D4">
          <w:rPr>
            <w:rFonts w:ascii="Times New Roman" w:hAnsi="Times New Roman" w:cs="Times New Roman"/>
            <w:sz w:val="28"/>
            <w:szCs w:val="28"/>
          </w:rPr>
          <w:fldChar w:fldCharType="separate"/>
        </w:r>
        <w:r w:rsidR="00EC7DD1">
          <w:rPr>
            <w:rFonts w:ascii="Times New Roman" w:hAnsi="Times New Roman" w:cs="Times New Roman"/>
            <w:noProof/>
            <w:sz w:val="28"/>
            <w:szCs w:val="28"/>
          </w:rPr>
          <w:t>2</w:t>
        </w:r>
        <w:r w:rsidR="00B942D2" w:rsidRPr="003A77D4">
          <w:rPr>
            <w:rFonts w:ascii="Times New Roman" w:hAnsi="Times New Roman" w:cs="Times New Roman"/>
            <w:sz w:val="28"/>
            <w:szCs w:val="28"/>
          </w:rPr>
          <w:fldChar w:fldCharType="end"/>
        </w:r>
      </w:p>
    </w:sdtContent>
  </w:sdt>
  <w:p w:rsidR="00B942D2" w:rsidRDefault="00B942D2">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0592678"/>
    <w:multiLevelType w:val="hybridMultilevel"/>
    <w:tmpl w:val="E948F5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F656AC6"/>
    <w:multiLevelType w:val="hybridMultilevel"/>
    <w:tmpl w:val="0414F318"/>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401"/>
    <w:rsid w:val="00096672"/>
    <w:rsid w:val="00214483"/>
    <w:rsid w:val="00265401"/>
    <w:rsid w:val="00272FD9"/>
    <w:rsid w:val="003A77D4"/>
    <w:rsid w:val="005639D4"/>
    <w:rsid w:val="00602BC6"/>
    <w:rsid w:val="006D3182"/>
    <w:rsid w:val="007E193F"/>
    <w:rsid w:val="00951991"/>
    <w:rsid w:val="009B4083"/>
    <w:rsid w:val="00AC4152"/>
    <w:rsid w:val="00B87BF8"/>
    <w:rsid w:val="00B942D2"/>
    <w:rsid w:val="00BD6E95"/>
    <w:rsid w:val="00C04A67"/>
    <w:rsid w:val="00CB0CFC"/>
    <w:rsid w:val="00DF3E2B"/>
    <w:rsid w:val="00EC7D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DA49A"/>
  <w15:docId w15:val="{9F2E09DF-997E-4838-A0EA-96BD6D935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B942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5401"/>
    <w:pPr>
      <w:ind w:left="720"/>
      <w:contextualSpacing/>
    </w:pPr>
  </w:style>
  <w:style w:type="table" w:styleId="a4">
    <w:name w:val="Table Grid"/>
    <w:basedOn w:val="a1"/>
    <w:uiPriority w:val="39"/>
    <w:rsid w:val="00265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272FD9"/>
    <w:rPr>
      <w:color w:val="0000FF" w:themeColor="hyperlink"/>
      <w:u w:val="single"/>
    </w:rPr>
  </w:style>
  <w:style w:type="paragraph" w:styleId="a6">
    <w:name w:val="Normal (Web)"/>
    <w:basedOn w:val="a"/>
    <w:uiPriority w:val="99"/>
    <w:semiHidden/>
    <w:unhideWhenUsed/>
    <w:rsid w:val="009B408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B942D2"/>
    <w:rPr>
      <w:rFonts w:ascii="Times New Roman" w:eastAsia="Times New Roman" w:hAnsi="Times New Roman" w:cs="Times New Roman"/>
      <w:b/>
      <w:bCs/>
      <w:kern w:val="36"/>
      <w:sz w:val="48"/>
      <w:szCs w:val="48"/>
      <w:lang w:eastAsia="ru-RU"/>
    </w:rPr>
  </w:style>
  <w:style w:type="character" w:styleId="a7">
    <w:name w:val="Strong"/>
    <w:basedOn w:val="a0"/>
    <w:uiPriority w:val="22"/>
    <w:qFormat/>
    <w:rsid w:val="00B942D2"/>
    <w:rPr>
      <w:b/>
      <w:bCs/>
    </w:rPr>
  </w:style>
  <w:style w:type="character" w:customStyle="1" w:styleId="hl">
    <w:name w:val="hl"/>
    <w:basedOn w:val="a0"/>
    <w:rsid w:val="00B942D2"/>
  </w:style>
  <w:style w:type="paragraph" w:styleId="a8">
    <w:name w:val="Balloon Text"/>
    <w:basedOn w:val="a"/>
    <w:link w:val="a9"/>
    <w:uiPriority w:val="99"/>
    <w:semiHidden/>
    <w:unhideWhenUsed/>
    <w:rsid w:val="00B942D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942D2"/>
    <w:rPr>
      <w:rFonts w:ascii="Tahoma" w:hAnsi="Tahoma" w:cs="Tahoma"/>
      <w:sz w:val="16"/>
      <w:szCs w:val="16"/>
    </w:rPr>
  </w:style>
  <w:style w:type="paragraph" w:styleId="aa">
    <w:name w:val="header"/>
    <w:basedOn w:val="a"/>
    <w:link w:val="ab"/>
    <w:uiPriority w:val="99"/>
    <w:unhideWhenUsed/>
    <w:rsid w:val="00B942D2"/>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B942D2"/>
  </w:style>
  <w:style w:type="paragraph" w:styleId="ac">
    <w:name w:val="footer"/>
    <w:basedOn w:val="a"/>
    <w:link w:val="ad"/>
    <w:uiPriority w:val="99"/>
    <w:unhideWhenUsed/>
    <w:rsid w:val="00B942D2"/>
    <w:pPr>
      <w:tabs>
        <w:tab w:val="center" w:pos="4677"/>
        <w:tab w:val="right" w:pos="9355"/>
      </w:tabs>
      <w:spacing w:after="0" w:line="240" w:lineRule="auto"/>
    </w:pPr>
  </w:style>
  <w:style w:type="character" w:customStyle="1" w:styleId="ad">
    <w:name w:val="Нижний колонтитул Знак"/>
    <w:basedOn w:val="a0"/>
    <w:link w:val="ac"/>
    <w:uiPriority w:val="99"/>
    <w:rsid w:val="00B9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7303610">
      <w:bodyDiv w:val="1"/>
      <w:marLeft w:val="0"/>
      <w:marRight w:val="0"/>
      <w:marTop w:val="0"/>
      <w:marBottom w:val="0"/>
      <w:divBdr>
        <w:top w:val="none" w:sz="0" w:space="0" w:color="auto"/>
        <w:left w:val="none" w:sz="0" w:space="0" w:color="auto"/>
        <w:bottom w:val="none" w:sz="0" w:space="0" w:color="auto"/>
        <w:right w:val="none" w:sz="0" w:space="0" w:color="auto"/>
      </w:divBdr>
    </w:div>
    <w:div w:id="1085419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oecd.org/finance/OECD-Pooling-Institutional-InvestorsCapital-Unlisted-Equity-Infrastructure.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old.tpp-inform.ru/analytic_journal/4836.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25</Pages>
  <Words>16953</Words>
  <Characters>96634</Characters>
  <Application>Microsoft Office Word</Application>
  <DocSecurity>0</DocSecurity>
  <Lines>805</Lines>
  <Paragraphs>226</Paragraphs>
  <ScaleCrop>false</ScaleCrop>
  <HeadingPairs>
    <vt:vector size="2" baseType="variant">
      <vt:variant>
        <vt:lpstr>Название</vt:lpstr>
      </vt:variant>
      <vt:variant>
        <vt:i4>1</vt:i4>
      </vt:variant>
    </vt:vector>
  </HeadingPairs>
  <TitlesOfParts>
    <vt:vector size="1" baseType="lpstr">
      <vt:lpstr/>
    </vt:vector>
  </TitlesOfParts>
  <Company>RZDS</Company>
  <LinksUpToDate>false</LinksUpToDate>
  <CharactersWithSpaces>113361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Марченко Наталья Павловна</dc:creator>
  <cp:lastModifiedBy>RePack by Diakov</cp:lastModifiedBy>
  <cp:revision>2</cp:revision>
  <dcterms:created xsi:type="dcterms:W3CDTF">2021-08-23T21:30:00Z</dcterms:created>
  <dcterms:modified xsi:type="dcterms:W3CDTF">2021-08-23T21:30:00Z</dcterms:modified>
</cp:coreProperties>
</file>