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docProps/app.xml" ContentType="application/vnd.openxmlformats-officedocument.extended-properties+xml"/>
  <Override PartName="/word/styles.xml" ContentType="application/vnd.openxmlformats-officedocument.wordprocessingml.styles+xml"/>
</Types>
</file>

<file path=_rels/.rels><?xml version='1.0' encoding='UTF-8' standalone='yes' ?><Relationships xmlns="http://schemas.openxmlformats.org/package/2006/relationships"><Relationship Id="rId1" Type="http://schemas.openxmlformats.org/package/2006/relationships/metadata/core-properties" Target="docProps/core.xml" TargetMode="Internal" /><Relationship Id="rId2" Type="http://schemas.openxmlformats.org/officeDocument/2006/relationships/extended-properties" Target="docProps/app.xml" TargetMode="Internal" /><Relationship Id="rId3" Type="http://schemas.openxmlformats.org/officeDocument/2006/relationships/custom-properties" Target="docProps/custom.xml" TargetMode="Internal" /><Relationship Id="rId4" Type="http://schemas.openxmlformats.org/officeDocument/2006/relationships/officeDocument" Target="word/document.xml" TargetMode="Interna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14="http://schemas.microsoft.com/office/word/2010/wordml" xmlns:w="http://schemas.openxmlformats.org/wordprocessingml/2006/main" xmlns:wne="http://schemas.microsoft.com/office/word/2006/wordml" xmlns:wpg="http://schemas.microsoft.com/office/word/2010/wordprocessingGroup" xmlns:wps="http://schemas.microsoft.com/office/word/2010/wordprocessingShape" xmlns:a="http://schemas.openxmlformats.org/drawingml/2006/main" xmlns:c="http://schemas.openxmlformats.org/drawingml/2006/chart">
  <w:body>
    <w:p>
      <w:pPr>
        <w:rPr/>
      </w:pPr>
      <w:r>
        <w:rPr>
          <w:sz w:val="24"/>
          <w:szCs w:val="24"/>
        </w:rPr>
        <w:t xml:space="preserve">УДК </w:t>
      </w:r>
      <w:r>
        <w:rPr>
          <w:sz w:val="24"/>
          <w:szCs w:val="24"/>
        </w:rPr>
        <w:t>629.12</w:t>
      </w:r>
    </w:p>
    <w:p>
      <w:pPr>
        <w:jc w:val="center"/>
        <w:rPr>
          <w:color w:val="FF0000"/>
          <w:sz w:val="24"/>
          <w:szCs w:val="24"/>
        </w:rPr>
      </w:pPr>
    </w:p>
    <w:p>
      <w:pPr>
        <w:jc w:val="center"/>
        <w:rPr>
          <w:caps/>
          <w:b/>
        </w:rPr>
      </w:pPr>
      <w:r>
        <w:rPr>
          <w:caps/>
          <w:b/>
        </w:rPr>
        <w:t>Модернизация системы управления и защиты эле</w:t>
      </w:r>
      <w:r>
        <w:rPr>
          <w:caps/>
          <w:b/>
        </w:rPr>
        <w:t>ктродвигателей насосов рулевого электропривода судна «Омский 135» проекта 1743.1</w:t>
      </w:r>
    </w:p>
    <w:p>
      <w:pPr>
        <w:ind w:left="709"/>
        <w:rPr>
          <w:caps/>
          <w:color w:val="FF0000"/>
          <w:sz w:val="24"/>
          <w:szCs w:val="24"/>
        </w:rPr>
      </w:pPr>
    </w:p>
    <w:p>
      <w:pPr>
        <w:ind w:left="709"/>
        <w:rPr/>
      </w:pPr>
      <w:r>
        <w:rPr/>
        <w:t>Бочарова</w:t>
      </w:r>
      <w:r>
        <w:rPr/>
        <w:t xml:space="preserve"> Наталья Владимировна, к.т.н., доцент</w:t>
      </w:r>
    </w:p>
    <w:p>
      <w:pPr>
        <w:ind w:left="709"/>
        <w:rPr/>
      </w:pPr>
      <w:r>
        <w:rPr/>
        <w:t>Шабалин Леонид Дмитриевич</w:t>
      </w:r>
      <w:r>
        <w:rPr/>
        <w:t>, к.т.н., доцент</w:t>
      </w:r>
    </w:p>
    <w:p>
      <w:pPr>
        <w:tabs>
          <w:tab w:val="left" w:leader="none" w:pos="873"/>
        </w:tabs>
        <w:rPr/>
      </w:pPr>
      <w:r>
        <w:rPr>
          <w:color w:val="FF0000"/>
          <w:sz w:val="24"/>
          <w:szCs w:val="24"/>
        </w:rPr>
        <w:t xml:space="preserve">            </w:t>
      </w:r>
      <w:r>
        <w:rPr/>
        <w:t>Сивухо Марина Эрнстовна, доцент</w:t>
      </w:r>
    </w:p>
    <w:p>
      <w:pPr>
        <w:tabs>
          <w:tab w:val="left" w:leader="none" w:pos="873"/>
        </w:tabs>
        <w:rPr/>
      </w:pPr>
    </w:p>
    <w:p>
      <w:pPr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ФГБОУ </w:t>
      </w:r>
      <w:r>
        <w:rPr>
          <w:sz w:val="24"/>
          <w:szCs w:val="24"/>
        </w:rPr>
        <w:t xml:space="preserve">ВО  «Калининградский   государственный   технический   университет», Калининград, Россия, e-mail: </w:t>
      </w:r>
      <w:r>
        <w:rPr>
          <w:sz w:val="24"/>
          <w:szCs w:val="24"/>
          <w:lang w:val="en-US"/>
        </w:rPr>
        <w:t>nw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bocharova</w:t>
      </w:r>
      <w:r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</w:p>
    <w:p>
      <w:pPr>
        <w:ind w:left="709"/>
        <w:jc w:val="both"/>
        <w:rPr>
          <w:color w:val="FF0000"/>
          <w:sz w:val="24"/>
          <w:szCs w:val="24"/>
        </w:rPr>
      </w:pPr>
    </w:p>
    <w:p>
      <w:pPr>
        <w:ind w:left="709"/>
        <w:jc w:val="both"/>
        <w:rPr>
          <w:color w:val="FF0000"/>
          <w:sz w:val="24"/>
          <w:szCs w:val="24"/>
        </w:rPr>
      </w:pPr>
    </w:p>
    <w:p>
      <w:pPr>
        <w:jc w:val="both"/>
        <w:rPr>
          <w:i/>
          <w:sz w:val="24"/>
          <w:szCs w:val="24"/>
          <w:lang w:eastAsia="ru-RU"/>
          <w:spacing w:val="-6"/>
        </w:rPr>
      </w:pPr>
      <w:r>
        <w:rPr>
          <w:i/>
          <w:sz w:val="24"/>
          <w:szCs w:val="24"/>
          <w:lang w:eastAsia="ru-RU"/>
          <w:spacing w:val="-6"/>
        </w:rPr>
        <w:t>Цель данной работы является модернизация системы управления и защиты насосов рулев</w:t>
      </w:r>
      <w:r>
        <w:rPr>
          <w:i/>
          <w:sz w:val="24"/>
          <w:szCs w:val="24"/>
          <w:lang w:eastAsia="ru-RU"/>
          <w:spacing w:val="-6"/>
        </w:rPr>
        <w:t xml:space="preserve">ого электропривода судна «Омский 135» на основе современной системы </w:t>
      </w:r>
      <w:r>
        <w:rPr>
          <w:i/>
          <w:sz w:val="24"/>
          <w:szCs w:val="24"/>
          <w:lang w:val="en-US" w:eastAsia="ru-RU"/>
          <w:spacing w:val="-6"/>
        </w:rPr>
        <w:t>SIMOCODE</w:t>
      </w:r>
      <w:r>
        <w:rPr>
          <w:i/>
          <w:sz w:val="24"/>
          <w:szCs w:val="24"/>
          <w:lang w:eastAsia="ru-RU"/>
          <w:spacing w:val="-6"/>
        </w:rPr>
        <w:t>-</w:t>
      </w:r>
      <w:r>
        <w:rPr>
          <w:i/>
          <w:sz w:val="24"/>
          <w:szCs w:val="24"/>
          <w:lang w:val="en-US" w:eastAsia="ru-RU"/>
          <w:spacing w:val="-6"/>
        </w:rPr>
        <w:t>DP</w:t>
      </w:r>
      <w:r>
        <w:rPr>
          <w:i/>
          <w:sz w:val="24"/>
          <w:szCs w:val="24"/>
          <w:lang w:eastAsia="ru-RU"/>
          <w:spacing w:val="-6"/>
        </w:rPr>
        <w:t xml:space="preserve">, позволяющей не только заменить существующую релейно-контакторную схему, но и расширить защитные, управляющие функции, а также функции контроля. Система </w:t>
      </w:r>
      <w:r>
        <w:rPr>
          <w:i/>
          <w:sz w:val="24"/>
          <w:szCs w:val="24"/>
          <w:lang w:val="en-US" w:eastAsia="ru-RU"/>
          <w:spacing w:val="-6"/>
        </w:rPr>
        <w:t>SIMOCOD</w:t>
      </w:r>
      <w:r>
        <w:rPr>
          <w:i/>
          <w:sz w:val="24"/>
          <w:szCs w:val="24"/>
          <w:lang w:eastAsia="ru-RU"/>
          <w:spacing w:val="-6"/>
        </w:rPr>
        <w:t xml:space="preserve">- </w:t>
      </w:r>
      <w:r>
        <w:rPr>
          <w:i/>
          <w:sz w:val="24"/>
          <w:szCs w:val="24"/>
          <w:lang w:val="en-US" w:eastAsia="ru-RU"/>
          <w:spacing w:val="-6"/>
        </w:rPr>
        <w:t>DP</w:t>
      </w:r>
      <w:r>
        <w:rPr>
          <w:i/>
          <w:sz w:val="24"/>
          <w:szCs w:val="24"/>
          <w:lang w:eastAsia="ru-RU"/>
          <w:spacing w:val="-6"/>
        </w:rPr>
        <w:t xml:space="preserve"> соответствует требованиям Правил Регистра РФ. </w:t>
      </w:r>
    </w:p>
    <w:p>
      <w:pPr>
        <w:ind w:firstLine="709"/>
        <w:rPr>
          <w:color w:val="FF0000"/>
          <w:sz w:val="24"/>
          <w:szCs w:val="24"/>
        </w:rPr>
      </w:pP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Рулевой электропривод относится к ответственным электроприводам непосредственно </w:t>
      </w:r>
      <w:r>
        <w:rPr>
          <w:sz w:val="24"/>
          <w:szCs w:val="24"/>
        </w:rPr>
        <w:t>влияющих на безопасность судна. Поэтому согласно требованиям Правил Регистра РФ  к электрическим приводам и управлению рулевыми устройствами на судне должна быть предусмотрена световая и звуковая сигнализация в случае: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- исчезновения напряжения в цепи питания каждого силового агрегата, а также системы управления;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- короткого замыкания, обрыва фазы, замыкания на корпус;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- неисправности канала передачи данных, аппаратных средств и программного обесп</w:t>
      </w:r>
      <w:r>
        <w:rPr>
          <w:sz w:val="24"/>
          <w:szCs w:val="24"/>
        </w:rPr>
        <w:t>ечения;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- минимального уровня масла в любой из систем гидравлической системы.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Кроме этого должны быть предусмотрены средства отключения любой системы упра</w:t>
      </w:r>
      <w:r>
        <w:rPr>
          <w:sz w:val="24"/>
          <w:szCs w:val="24"/>
        </w:rPr>
        <w:t>вления с мостика от рулевого привода, который она обслуживает. Главный электрический или электрогидравлический привод, состоящий из одного или более силовых агрегатов, должен получать питание по двум отдельным фидерам, проложенным непосредственно от главного и аварийного распределительных щитов разными трассами.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Авторулевой «Печора», установленный на </w:t>
      </w:r>
      <w:r>
        <w:rPr>
          <w:sz w:val="24"/>
          <w:szCs w:val="24"/>
        </w:rPr>
        <w:t xml:space="preserve">судне «Омский135», управляет электрогидравлической рулевой машиной. Авторулевой «Печора», созданный на базе системы «Аист», предназначен в основном для судов речного флота. В рулевых электрогидравлических приводах перекладка руля производится агрегатом электродвигатель-насос. На судне «Омский135» в качестве приводных электродвигателей применяют нерегулируемые короткозамкнутые асинхронные электродвигатели (АМ70, 8кВт, 950 об./мин.) с непосредственным включением посредством магнитных пускателей (ПМ, 380В, 20.5А). 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Схема силового привода рулевой машины предусматривает  дистанционный пуск и остановку электродвигателей насосов из рулевой рубки и румпельного отделения. Для этого применяются пакетные переключатели, которые имеют фиксацию положения, что обеспечивает </w:t>
      </w:r>
      <w:r>
        <w:rPr>
          <w:sz w:val="24"/>
          <w:szCs w:val="24"/>
        </w:rPr>
        <w:t>самозапуск двигателя после возможного перерыва питания.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Контакторная станция управления силовым приводом установлена в румпельном отд</w:t>
      </w:r>
      <w:r>
        <w:rPr>
          <w:sz w:val="24"/>
          <w:szCs w:val="24"/>
        </w:rPr>
        <w:t xml:space="preserve">елении, там же находится и щит питания рулевого устройства, напряжение на который подается по двум независимым линиям, разведенным по бортам. Автоматы, установленные на ГРЩ и АРЩ, защищают фидеры и схему от коротких замыканий. Состояние силового привода контролируется системой сигнализации – звуковой и ламповой. В румпельном отделении на щите для каждого фидера установлены сигнальные лампы наличия питания. Аналогичные лампы находятся в постах дистанционного пуска исполнительных двигателей, а также в посту управления рулем, рулевой рубке и в  ЦПУ. Через трансформаторы (ОСВМ 0.63кВА, 380/133В) получает питание устройство сигнализации УСПДОМ4 (поставлено фирмой в комплекте с двигателем). Устройство содержит выключатель запуска насоса, звуковой сигнал о перегрузке насоса, кнопку снятия звукового сигнала, световой сигнал о работе насоса, а также трансформатор питания. 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Перегрузка привода контролируется с помощью тепловых токовых реле, контакты к</w:t>
      </w:r>
      <w:r>
        <w:rPr>
          <w:sz w:val="24"/>
          <w:szCs w:val="24"/>
        </w:rPr>
        <w:t>оторых действуют на световую и звуковую сигнализацию. При этом происходит мигание ламп за счет заряда-разряда конденсатора в цепи катушки реле, контакты которой замыкают и размыкают цепи питания ламп.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Работа электродвигателей насосов гидравлических рулевых машин имеет ряд особе</w:t>
      </w:r>
      <w:r>
        <w:rPr>
          <w:sz w:val="24"/>
          <w:szCs w:val="24"/>
        </w:rPr>
        <w:t>нностей: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-  малая загрузка (коэффициент загрузки менее 0.5) особенно в режиме автоматическ</w:t>
      </w:r>
      <w:r>
        <w:rPr>
          <w:sz w:val="24"/>
          <w:szCs w:val="24"/>
        </w:rPr>
        <w:t>ого удержания судна на курсе, что обеспечивается малыми отклонениями пера руля при малой частоте включений (2-3 в минуту);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-  удаленность от мест несения вахтенной службы, что исключает постоянное наблюд</w:t>
      </w:r>
      <w:r>
        <w:rPr>
          <w:sz w:val="24"/>
          <w:szCs w:val="24"/>
        </w:rPr>
        <w:t>ение за состоянием, тем более на автоматизированных судах;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- в практике эксплуатации нередки случаи заклинивания по различным причинам нас</w:t>
      </w:r>
      <w:r>
        <w:rPr>
          <w:sz w:val="24"/>
          <w:szCs w:val="24"/>
        </w:rPr>
        <w:t>осов электрогидравлических приводов с последующей стоянкой под током.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Характерными особенностями является и работа рулевых приводов в повторно-кратковременном режиме с большим количеством переключений, а также широкие пределы изменения момента на валу электродвигателя.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Сигнализация</w:t>
      </w:r>
      <w:r>
        <w:rPr>
          <w:sz w:val="24"/>
          <w:szCs w:val="24"/>
        </w:rPr>
        <w:t xml:space="preserve"> от перегрузки в рулевых электроприводах выполнена на основе тепловых реле с термобиметаллическими элементами. Такие элементы включены в две фазы электродвигателя. Оценка температуры двигателя производится косвенно по интегральному значению тока, протекающему через термоэлемент. Эффективность работы теплового реле зависит от степени соответствия тепловых свойств реле и двигателя. Удовлетворительное действие защиты будет в том случае, если допустимое время перегрузки двигателя и время срабатывания реле при том же токе совпадают. При повторно-кратковременном режиме, который сопровождается частыми пусками, температурные характеристики реле и двигателя не совпадают, что ухудшает эффективность защиты. Кроме того сам сигнал о перегрузке или обрыве фазы может быть не воспринят персоналом из-за неисправности сигнальных ламп или ревуна. Следует также отметить, что в зоне перегрузок (1.05 – 1.25) номинального тока работа тепловых токовых реле нестабильна. Если обрыв фазы электродвигателя произойдет при малых загрузках электропривода, то потребляемый ток увеличивается. но величина его не превзойдет величины номинального тока и сигнализация о перегрузке не сработает. Согласно техническим условиям тепловое реле не срабатывает в течении 60 минут при токе 1.1 номинального и должно срабатывать не более, чем за 20 минут при токе 1.35 номинального тока уставки. Поэтому при отсутствии вахты в румпельном отделении обрыв фазы работающего электродвигателя может быть обнаружен при очередном запуске после остановки. В случае заклинивания двигателя насоса сигнализация о перегрузке сработает, если тепловое реле работоспособно и настроено, причем сигнал о перегрузке дол</w:t>
      </w:r>
      <w:r>
        <w:rPr>
          <w:sz w:val="24"/>
          <w:szCs w:val="24"/>
        </w:rPr>
        <w:lastRenderedPageBreak/>
        <w:t>жен быть подан за время, не превышающее</w:t>
      </w:r>
      <w:r>
        <w:rPr>
          <w:sz w:val="24"/>
          <w:szCs w:val="24"/>
        </w:rPr>
        <w:t xml:space="preserve"> допустимого времени стоянки двигателя под током. Однако в реальных обстоятельствах срабатывание сигнализации может произойти с запозданием вследствие разброса характеристик тепловых реле, влияния пониженной температуры среды в румпельном отделении и т.д. 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Значительно упростить схему управления и защиты электродвигателей насосов рулевой машины возможно с помощью системы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SIMOCOD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DP</w:t>
      </w:r>
      <w:r>
        <w:rPr>
          <w:sz w:val="24"/>
          <w:szCs w:val="24"/>
        </w:rPr>
        <w:t xml:space="preserve">. Это устройство управления и защиты двигателя с интерфейсом </w:t>
      </w:r>
      <w:r>
        <w:rPr>
          <w:sz w:val="24"/>
          <w:szCs w:val="24"/>
          <w:lang w:val="en-US"/>
        </w:rPr>
        <w:t>PROFIBUS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DP</w:t>
      </w:r>
      <w:r>
        <w:rPr>
          <w:sz w:val="24"/>
          <w:szCs w:val="24"/>
        </w:rPr>
        <w:t xml:space="preserve">. Микропроцессор – центральный элемент системы. Все защитные и управляющие функции обрабатываются микропроцессором. Встроенные трансформаторы тока позволяют регистрировать такую важную измеряемую величину, как электрический ток. Система </w:t>
      </w:r>
      <w:r>
        <w:rPr>
          <w:sz w:val="24"/>
          <w:szCs w:val="24"/>
          <w:lang w:val="en-US"/>
        </w:rPr>
        <w:t>SIMOCOD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DP</w:t>
      </w:r>
      <w:r>
        <w:rPr>
          <w:sz w:val="24"/>
          <w:szCs w:val="24"/>
        </w:rPr>
        <w:t xml:space="preserve"> полностью включает в себя все функции управления и мониторинга, а также сигнализации. Отпадает необходимость во внешней релейной схеме управления. Сигнал обратной связи «Двигатель Включен/Отключен» формируется по наличию/отсутствию рабочего тока.  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применения системы</w:t>
      </w:r>
      <w:r>
        <w:rPr>
          <w:sz w:val="24"/>
          <w:szCs w:val="24"/>
          <w:lang w:val="en-US"/>
        </w:rPr>
        <w:t>SIMOCOD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DP</w:t>
      </w:r>
      <w:r>
        <w:rPr>
          <w:sz w:val="24"/>
          <w:szCs w:val="24"/>
        </w:rPr>
        <w:t xml:space="preserve"> уменьшается количество соединительных проводов и точек подключения, а следовательно и число неполадок, отпадает необходимость в промежуточных реле и клеммах.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Система </w:t>
      </w:r>
      <w:r>
        <w:rPr>
          <w:sz w:val="24"/>
          <w:szCs w:val="24"/>
          <w:lang w:val="en-US"/>
        </w:rPr>
        <w:t>SIMOCOD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DP</w:t>
      </w:r>
      <w:r>
        <w:rPr>
          <w:sz w:val="24"/>
          <w:szCs w:val="24"/>
        </w:rPr>
        <w:t xml:space="preserve"> содержит несколько видов защит, действие которых основано на измеряемом токе: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- защита/сигнализация от перегрузки;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- защита/сигнализация от обрыва фазы;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- защита/сигнализация от блокировки ротора.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Работа устройства возможна в диапазоне токов от 0.25 до 820А. Основной модуль определяет ток в трех фазах при помощи встроенных трансформаторов тока.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Таким образом, </w:t>
      </w:r>
      <w:r>
        <w:rPr>
          <w:sz w:val="24"/>
          <w:szCs w:val="24"/>
        </w:rPr>
        <w:t>система</w:t>
      </w:r>
      <w:r>
        <w:rPr>
          <w:sz w:val="24"/>
          <w:szCs w:val="24"/>
          <w:lang w:val="en-US"/>
        </w:rPr>
        <w:t>SIMOCOD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DP</w:t>
      </w:r>
      <w:r>
        <w:rPr>
          <w:sz w:val="24"/>
          <w:szCs w:val="24"/>
        </w:rPr>
        <w:t xml:space="preserve"> дает возможность выполнить требование Правил Регистра в части наличия сигнализации обрыва фазы рулевого электропривода, а также использовать более качественную сигнализацию о перегрузке на основе токовой или температурной защиты на основе термисторов, встроенных в обмотки двигателя.</w:t>
      </w:r>
    </w:p>
    <w:p>
      <w:pPr>
        <w:jc w:val="both"/>
        <w:rPr>
          <w:sz w:val="24"/>
          <w:szCs w:val="24"/>
        </w:rPr>
      </w:pPr>
    </w:p>
    <w:p>
      <w:pPr>
        <w:jc w:val="both"/>
        <w:rPr>
          <w:sz w:val="24"/>
          <w:szCs w:val="24"/>
        </w:rPr>
      </w:pPr>
    </w:p>
    <w:p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lastRenderedPageBreak/>
        <w:drawing>
          <wp:inline>
            <wp:extent cx="6283960" cy="4367530"/>
            <wp:effectExtent l="0" t="0" r="0" b="0"/>
            <wp:docPr id="1025" name="ShapeProperty" hidden="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ShapeProperty" hidden="0"/>
                    <pic:cNvPicPr>
                      <a:picLocks noChangeAspect="0"/>
                    </pic:cNvPicPr>
                  </pic:nvPicPr>
                  <pic:blipFill xmlns:r="http://schemas.openxmlformats.org/officeDocument/2006/relationships">
                    <a:blip r:embed="rId5"/>
                    <a:stretch>
                      <a:fillRect l="0" t="0" r="0" b="0"/>
                    </a:stretch>
                  </pic:blipFill>
                  <pic:spPr>
                    <a:xfrm>
                      <a:off x="0" y="0"/>
                      <a:ext cx="6283960" cy="436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 w:val="24"/>
          <w:szCs w:val="24"/>
        </w:rPr>
        <w:t>Рис. 1   Схема рулевого привода с использованием традиционной технологии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drawing>
          <wp:inline>
            <wp:extent cx="6050915" cy="4065905"/>
            <wp:effectExtent l="0" t="0" r="0" b="0"/>
            <wp:docPr id="1026" name="ShapeProperty" hidden="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ShapeProperty" hidden="0"/>
                    <pic:cNvPicPr>
                      <a:picLocks noChangeAspect="0"/>
                    </pic:cNvPicPr>
                  </pic:nvPicPr>
                  <pic:blipFill xmlns:r="http://schemas.openxmlformats.org/officeDocument/2006/relationships">
                    <a:blip r:embed="rId6"/>
                    <a:stretch>
                      <a:fillRect l="0" t="0" r="0" b="0"/>
                    </a:stretch>
                  </pic:blipFill>
                  <pic:spPr>
                    <a:xfrm>
                      <a:off x="0" y="0"/>
                      <a:ext cx="6050915" cy="406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Рис. 2 Схема рулевого привода с использованием устройства </w:t>
      </w:r>
      <w:r>
        <w:rPr>
          <w:i/>
          <w:sz w:val="24"/>
          <w:szCs w:val="24"/>
          <w:lang w:val="en-US"/>
        </w:rPr>
        <w:t>SIMOCOD</w:t>
      </w:r>
      <w:r>
        <w:rPr>
          <w:i/>
          <w:sz w:val="24"/>
          <w:szCs w:val="24"/>
        </w:rPr>
        <w:t>-</w:t>
      </w:r>
      <w:r>
        <w:rPr>
          <w:i/>
          <w:sz w:val="24"/>
          <w:szCs w:val="24"/>
          <w:lang w:val="en-US"/>
        </w:rPr>
        <w:t>DP</w:t>
      </w:r>
    </w:p>
    <w:p>
      <w:pPr>
        <w:jc w:val="both"/>
        <w:rPr>
          <w:i/>
          <w:sz w:val="24"/>
          <w:szCs w:val="24"/>
        </w:rPr>
      </w:pPr>
    </w:p>
    <w:p>
      <w:pPr>
        <w:jc w:val="both"/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Использование системы </w:t>
      </w:r>
      <w:r>
        <w:rPr>
          <w:sz w:val="24"/>
          <w:szCs w:val="24"/>
          <w:lang w:val="en-US"/>
        </w:rPr>
        <w:t>SIMOCOD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DP</w:t>
      </w:r>
      <w:r>
        <w:rPr>
          <w:sz w:val="24"/>
          <w:szCs w:val="24"/>
        </w:rPr>
        <w:t xml:space="preserve">  расширяет функции контроля температуры, напряжения, мощности чередования фаз, коэффициента мощности. Появляется возможность отслеживать текущие данные: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- текущее состояние двигателя (включено, отключено, влево, вправо, медленно, быс</w:t>
      </w:r>
      <w:r>
        <w:rPr>
          <w:sz w:val="24"/>
          <w:szCs w:val="24"/>
        </w:rPr>
        <w:t>тро);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- напряжения и токи в фазах;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- активную и полную мощность;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- модель нагрева обмотки двигателя;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- температуру двигателя.</w:t>
      </w:r>
      <w:r>
        <w:rPr>
          <w:sz w:val="24"/>
          <w:szCs w:val="24"/>
        </w:rPr>
        <w:t xml:space="preserve"> </w:t>
      </w:r>
    </w:p>
    <w:p>
      <w:pPr>
        <w:pStyle w:val="BodyPaperText"/>
        <w:rPr>
          <w:rFonts w:ascii="Arial" w:hAnsi="Arial" w:cs="Arial"/>
          <w:sz w:val="19"/>
          <w:szCs w:val="19"/>
          <w:lang w:val="ru-RU"/>
        </w:rPr>
      </w:pPr>
    </w:p>
    <w:p>
      <w:pPr>
        <w:pStyle w:val="ac"/>
        <w:ind w:left="0" w:right="0"/>
        <w:jc w:val="center"/>
        <w:spacing w:before="0" w:after="0"/>
        <w:rPr>
          <w:rFonts w:ascii="Arial" w:hAnsi="Arial" w:cs="Arial"/>
          <w:sz w:val="19"/>
          <w:szCs w:val="19"/>
          <w:lang w:val="ru-RU"/>
        </w:rPr>
      </w:pPr>
    </w:p>
    <w:p>
      <w:pPr>
        <w:pStyle w:val="ac"/>
        <w:ind w:left="0" w:right="0"/>
        <w:spacing w:before="0" w:after="0"/>
        <w:rPr>
          <w:i/>
          <w:sz w:val="22"/>
          <w:szCs w:val="22"/>
          <w:lang w:val="ru-RU"/>
        </w:rPr>
      </w:pPr>
    </w:p>
    <w:p>
      <w:pPr>
        <w:pStyle w:val="ac"/>
        <w:ind w:left="0" w:right="0"/>
        <w:jc w:val="center"/>
        <w:spacing w:before="0" w:after="0"/>
        <w:rPr>
          <w:sz w:val="22"/>
          <w:szCs w:val="22"/>
          <w:lang w:val="ru-RU"/>
        </w:rPr>
      </w:pP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>СПИСОК ЛИТЕРАТУРЫ</w:t>
      </w:r>
    </w:p>
    <w:p>
      <w:pPr>
        <w:ind w:firstLine="709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1. </w:t>
      </w:r>
      <w:r>
        <w:rPr>
          <w:sz w:val="24"/>
          <w:szCs w:val="24"/>
        </w:rPr>
        <w:t>Калязин Е.А. Рокотян Ю.В. Филимонов В.Д. Игнатьев Л.Л. Электрическая защита судового электрооборудования. Л</w:t>
      </w:r>
      <w:r>
        <w:rPr>
          <w:sz w:val="24"/>
          <w:szCs w:val="24"/>
          <w:lang w:val="en-US"/>
        </w:rPr>
        <w:t xml:space="preserve">.: </w:t>
      </w:r>
      <w:r>
        <w:rPr>
          <w:sz w:val="24"/>
          <w:szCs w:val="24"/>
        </w:rPr>
        <w:t>Судостроение</w:t>
      </w:r>
      <w:r>
        <w:rPr>
          <w:sz w:val="24"/>
          <w:szCs w:val="24"/>
          <w:lang w:val="en-US"/>
        </w:rPr>
        <w:t xml:space="preserve">, 1983. 240 </w:t>
      </w:r>
      <w:r>
        <w:rPr>
          <w:sz w:val="24"/>
          <w:szCs w:val="24"/>
        </w:rPr>
        <w:t>с</w:t>
      </w:r>
      <w:r>
        <w:rPr>
          <w:sz w:val="24"/>
          <w:szCs w:val="24"/>
          <w:lang w:val="en-US"/>
        </w:rPr>
        <w:t xml:space="preserve">. </w:t>
      </w:r>
    </w:p>
    <w:p>
      <w:pPr>
        <w:ind w:firstLine="709"/>
        <w:jc w:val="both"/>
        <w:rPr>
          <w:sz w:val="24"/>
          <w:szCs w:val="24"/>
          <w:lang w:val="en-US"/>
        </w:rPr>
      </w:pPr>
    </w:p>
    <w:p>
      <w:pPr>
        <w:ind w:firstLine="709"/>
        <w:jc w:val="both"/>
        <w:tabs>
          <w:tab w:val="left" w:leader="none" w:pos="427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>
      <w:pPr>
        <w:jc w:val="center"/>
        <w:rPr>
          <w:caps/>
          <w:b/>
          <w:sz w:val="24"/>
          <w:szCs w:val="24"/>
          <w:lang w:val="en-US"/>
        </w:rPr>
      </w:pPr>
      <w:r>
        <w:rPr>
          <w:caps/>
          <w:b/>
          <w:sz w:val="24"/>
          <w:szCs w:val="24"/>
          <w:lang w:val="en-US"/>
        </w:rPr>
        <w:t>Modernization of the control and protection system for electric motors of the electric power steering pumps of the "Omsk</w:t>
      </w:r>
      <w:r>
        <w:rPr>
          <w:caps/>
          <w:b/>
          <w:sz w:val="24"/>
          <w:szCs w:val="24"/>
          <w:lang w:val="en-US"/>
        </w:rPr>
        <w:t>iy 135" vessel (project 1743.1)</w:t>
      </w:r>
    </w:p>
    <w:p>
      <w:pPr>
        <w:ind w:firstLine="709"/>
        <w:jc w:val="center"/>
        <w:rPr>
          <w:b/>
          <w:sz w:val="24"/>
          <w:szCs w:val="24"/>
          <w:lang w:val="en-US"/>
        </w:rPr>
      </w:pPr>
    </w:p>
    <w:p>
      <w:pPr>
        <w:ind w:firstLine="709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Bocharova</w:t>
      </w:r>
      <w:r>
        <w:rPr>
          <w:sz w:val="24"/>
          <w:szCs w:val="24"/>
          <w:lang w:val="en-US"/>
        </w:rPr>
        <w:t xml:space="preserve"> Natalia Vladimirovna, Dr.Sc., Associate Professor</w:t>
      </w:r>
    </w:p>
    <w:p>
      <w:pPr>
        <w:ind w:firstLine="709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Shabalin</w:t>
      </w:r>
      <w:r>
        <w:rPr>
          <w:sz w:val="24"/>
          <w:szCs w:val="24"/>
          <w:lang w:val="en-US"/>
        </w:rPr>
        <w:t xml:space="preserve"> Leonid Dmitrievich, Dr.Sc., Associate Professor</w:t>
      </w:r>
    </w:p>
    <w:p>
      <w:pPr>
        <w:ind w:firstLine="709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Sivu</w:t>
      </w:r>
      <w:r>
        <w:rPr>
          <w:sz w:val="24"/>
          <w:szCs w:val="24"/>
          <w:lang w:val="en-US"/>
        </w:rPr>
        <w:t>kho Marina Ernstovna, Associate Professor</w:t>
      </w:r>
    </w:p>
    <w:p>
      <w:pPr>
        <w:ind w:firstLine="709"/>
        <w:jc w:val="both"/>
        <w:rPr>
          <w:sz w:val="24"/>
          <w:szCs w:val="24"/>
          <w:lang w:val="en-US"/>
          <w:vertAlign w:val="superscript"/>
        </w:rPr>
      </w:pPr>
    </w:p>
    <w:p>
      <w:pPr>
        <w:ind w:firstLine="709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Kalininsrad</w:t>
      </w:r>
      <w:r>
        <w:rPr>
          <w:sz w:val="24"/>
          <w:szCs w:val="24"/>
          <w:lang w:val="en-US"/>
        </w:rPr>
        <w:t xml:space="preserve"> State Technical University, Kaliningrad, Russia, e-mail: nw.bocharova@yandex.ru</w:t>
      </w:r>
    </w:p>
    <w:p>
      <w:pPr>
        <w:ind w:firstLine="709"/>
        <w:jc w:val="both"/>
        <w:rPr>
          <w:sz w:val="24"/>
          <w:szCs w:val="24"/>
          <w:lang w:val="en-US"/>
        </w:rPr>
      </w:pPr>
    </w:p>
    <w:p>
      <w:pPr>
        <w:jc w:val="both"/>
        <w:rPr>
          <w:i/>
          <w:sz w:val="24"/>
          <w:szCs w:val="24"/>
          <w:lang w:val="en-US"/>
        </w:rPr>
      </w:pPr>
    </w:p>
    <w:p>
      <w:pPr>
        <w:jc w:val="both"/>
        <w:rPr>
          <w:i/>
          <w:sz w:val="24"/>
          <w:szCs w:val="24"/>
          <w:lang w:val="en-US"/>
        </w:rPr>
      </w:pPr>
      <w:r>
        <w:rPr>
          <w:i/>
          <w:sz w:val="24"/>
          <w:szCs w:val="24"/>
          <w:lang w:val="en-US"/>
        </w:rPr>
        <w:t>The purpose of this work is to modernize the control and protection system for the ele</w:t>
      </w:r>
      <w:r>
        <w:rPr>
          <w:i/>
          <w:sz w:val="24"/>
          <w:szCs w:val="24"/>
          <w:lang w:val="en-US"/>
        </w:rPr>
        <w:t xml:space="preserve">ctric power steering pumps of </w:t>
      </w:r>
      <w:r>
        <w:rPr>
          <w:caps/>
          <w:i/>
          <w:sz w:val="24"/>
          <w:szCs w:val="24"/>
          <w:lang w:val="en-US"/>
        </w:rPr>
        <w:t>"</w:t>
      </w:r>
      <w:r>
        <w:rPr>
          <w:i/>
          <w:sz w:val="24"/>
          <w:szCs w:val="24"/>
          <w:lang w:val="en-US"/>
        </w:rPr>
        <w:t>Omskiy 135</w:t>
      </w:r>
      <w:r>
        <w:rPr>
          <w:caps/>
          <w:i/>
          <w:sz w:val="24"/>
          <w:szCs w:val="24"/>
          <w:lang w:val="en-US"/>
        </w:rPr>
        <w:t>"</w:t>
      </w:r>
      <w:r>
        <w:rPr>
          <w:i/>
          <w:sz w:val="24"/>
          <w:szCs w:val="24"/>
          <w:lang w:val="en-US"/>
        </w:rPr>
        <w:t xml:space="preserve"> vessel on the basis of the modern SIMOCODE-DP system, allowing to replace the existing relay-contactor circuit and extend the protective and control functions. The SIMOCOD-DP system complies with the requirements of the Russian Maritime Register Rules.</w:t>
      </w:r>
    </w:p>
    <w:sectPr>
      <w:type w:val="nextPage"/>
      <w:headerReference w:type="default" r:id="rId7"/>
      <w:headerReference w:type="even" r:id="rId8"/>
      <w:headerReference w:type="first" r:id="rId9"/>
      <w:footerReference w:type="default" r:id="rId10"/>
      <w:footerReference w:type="even" r:id="rId11"/>
      <w:footerReference w:type="first" r:id="rId12"/>
      <w:lnNumType/>
      <w:pgBorders/>
      <w:pgSz w:w="11906" w:h="16838"/>
      <w:pgMar w:top="1418" w:right="1418" w:bottom="1418" w:left="1418" w:header="709" w:footer="709" w:gutter="0"/>
      <w:cols w:num="1" w:space="708"/>
      <w:docGrid w:type="default" w:linePitch="381" w:charSpace="200"/>
      <w:pgNumTyp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@Batang">
    <w:altName w:val="null"/>
    <w:panose1 w:val="02030600000101010101"/>
    <w:charset w:val="81"/>
    <w:family w:val="Roman"/>
    <w:pitch w:val="variable"/>
    <w:sig w:csb0="0008009F" w:csb1="00000000" w:usb0="B00002AF" w:usb1="69D77CFB" w:usb2="00000030" w:usb3="00000000"/>
  </w:font>
  <w:font w:name="Batang">
    <w:altName w:val="Batang"/>
    <w:panose1 w:val="02030600000101010101"/>
    <w:charset w:val="81"/>
    <w:family w:val="Roman"/>
    <w:pitch w:val="variable"/>
    <w:sig w:csb0="0008009F" w:csb1="00000000" w:usb0="B00002AF" w:usb1="69D77CFB" w:usb2="00000030" w:usb3="00000000"/>
  </w:font>
  <w:font w:name="Tahoma">
    <w:altName w:val="null"/>
    <w:panose1 w:val="020B0604030504040204"/>
    <w:charset w:val="00"/>
    <w:family w:val="Swiss"/>
    <w:pitch w:val="variable"/>
    <w:sig w:csb0="000101FF" w:csb1="00000000" w:usb0="61007A87" w:usb1="80000000" w:usb2="00000008" w:usb3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15="http://schemas.microsoft.com/office/word/2012/wordml" xmlns:wp14="http://schemas.microsoft.com/office/word/2010/wordprocessingDrawing" xmlns:w="http://schemas.openxmlformats.org/wordprocessingml/2006/main" xmlns:wne="http://schemas.microsoft.com/office/word/2006/wordml" xmlns:wps="http://schemas.microsoft.com/office/word/2010/wordprocessingShape" xmlns:wpg="http://schemas.microsoft.com/office/word/2010/wordprocessingGroup" xmlns:a="http://schemas.openxmlformats.org/drawingml/2006/main" xmlns:c="http://schemas.openxmlformats.org/drawingml/2006/chart">
  <w:p>
    <w:pPr>
      <w:pStyle w:val="Footer"/>
      <w:rPr/>
    </w:pP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15="http://schemas.microsoft.com/office/word/2012/wordml" xmlns:wp14="http://schemas.microsoft.com/office/word/2010/wordprocessingDrawing" xmlns:w="http://schemas.openxmlformats.org/wordprocessingml/2006/main" xmlns:wne="http://schemas.microsoft.com/office/word/2006/wordml" xmlns:wps="http://schemas.microsoft.com/office/word/2010/wordprocessingShape" xmlns:wpg="http://schemas.microsoft.com/office/word/2010/wordprocessingGroup" xmlns:a="http://schemas.openxmlformats.org/drawingml/2006/main" xmlns:c="http://schemas.openxmlformats.org/drawingml/2006/chart">
  <w:p>
    <w:pPr>
      <w:pStyle w:val="Footer"/>
      <w:rPr/>
    </w:pP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15="http://schemas.microsoft.com/office/word/2012/wordml" xmlns:wp14="http://schemas.microsoft.com/office/word/2010/wordprocessingDrawing" xmlns:w="http://schemas.openxmlformats.org/wordprocessingml/2006/main" xmlns:wne="http://schemas.microsoft.com/office/word/2006/wordml" xmlns:wps="http://schemas.microsoft.com/office/word/2010/wordprocessingShape" xmlns:wpg="http://schemas.microsoft.com/office/word/2010/wordprocessingGroup" xmlns:a="http://schemas.openxmlformats.org/drawingml/2006/main" xmlns:c="http://schemas.openxmlformats.org/drawingml/2006/chart">
  <w:p>
    <w:pPr>
      <w:pStyle w:val="Footer"/>
      <w:rPr/>
    </w:pP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15="http://schemas.microsoft.com/office/word/2012/wordml" xmlns:wp14="http://schemas.microsoft.com/office/word/2010/wordprocessingDrawing" xmlns:w="http://schemas.openxmlformats.org/wordprocessingml/2006/main" xmlns:wne="http://schemas.microsoft.com/office/word/2006/wordml" xmlns:wps="http://schemas.microsoft.com/office/word/2010/wordprocessingShape" xmlns:wpg="http://schemas.microsoft.com/office/word/2010/wordprocessingGroup" xmlns:a="http://schemas.openxmlformats.org/drawingml/2006/main" xmlns:c="http://schemas.openxmlformats.org/drawingml/2006/chart">
  <w:p>
    <w:pPr>
      <w:pStyle w:val="Header"/>
      <w:rPr/>
    </w:pP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15="http://schemas.microsoft.com/office/word/2012/wordml" xmlns:wp14="http://schemas.microsoft.com/office/word/2010/wordprocessingDrawing" xmlns:w="http://schemas.openxmlformats.org/wordprocessingml/2006/main" xmlns:wne="http://schemas.microsoft.com/office/word/2006/wordml" xmlns:wps="http://schemas.microsoft.com/office/word/2010/wordprocessingShape" xmlns:wpg="http://schemas.microsoft.com/office/word/2010/wordprocessingGroup" xmlns:a="http://schemas.openxmlformats.org/drawingml/2006/main" xmlns:c="http://schemas.openxmlformats.org/drawingml/2006/chart">
  <w:p>
    <w:pPr>
      <w:pStyle w:val="Header"/>
      <w:rPr/>
    </w:pP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15="http://schemas.microsoft.com/office/word/2012/wordml" xmlns:wp14="http://schemas.microsoft.com/office/word/2010/wordprocessingDrawing" xmlns:w="http://schemas.openxmlformats.org/wordprocessingml/2006/main" xmlns:wne="http://schemas.microsoft.com/office/word/2006/wordml" xmlns:wps="http://schemas.microsoft.com/office/word/2010/wordprocessingShape" xmlns:wpg="http://schemas.microsoft.com/office/word/2010/wordprocessingGroup" xmlns:a="http://schemas.openxmlformats.org/drawingml/2006/main" xmlns:c="http://schemas.openxmlformats.org/drawingml/2006/chart">
  <w:p>
    <w:pPr>
      <w:pStyle w:val="Header"/>
      <w:rPr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displayBackgroundShape/>
  <w:embedSystemFonts/>
  <w:bordersDontSurroundHeader/>
  <w:bordersDontSurroundFooter/>
  <w:proofState w:spelling="clean" w:grammar="clean"/>
  <w:defaultTabStop w:val="708"/>
  <w:autoHyphenation/>
  <w:displayHorizontalDrawingGridEvery w:val="0"/>
  <w:displayVerticalDrawingGridEvery w:val="2"/>
  <w:doNotUseMarginsForDrawingGridOrigin/>
  <w:noPunctuationKerning/>
  <w:characterSpacingControl w:val="doNotCompress"/>
  <w:saveInvalidXML w:val="off"/>
  <w:ignoreMixedContent w:val="off"/>
  <w:alwaysShowPlaceholderText w:val="off"/>
  <w:doNotDemarcateInvalidXml/>
  <w:compat>
    <w:compatSetting w:name="compatibilityMode" w:uri="http://schemas.microsoft.com/office/word" w:val="11"/>
    <w:splitPgBreakAndParaMark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pPrDefault>
      <w:pPr/>
    </w:pPrDefault>
    <w:rPrDefault>
      <w:rPr>
        <w:rFonts w:ascii="Calibri" w:hAnsi="Calibri" w:eastAsia="Calibri" w:cs="Times New Roman"/>
        <w:lang w:val="ru-RU" w:eastAsia="ru-RU" w:bidi="ar-SA"/>
      </w:rPr>
    </w:rPrDefault>
  </w:docDefaults>
  <w:style w:type="character" w:styleId="a0" w:default="on">
    <w:name w:val="Default Paragraph Font"/>
    <w:semiHidden/>
  </w:style>
  <w:style w:type="paragraph" w:styleId="a" w:default="on">
    <w:name w:val="Normal"/>
    <w:qFormat/>
    <w:rPr>
      <w:rFonts w:ascii="Times New Roman" w:hAnsi="Times New Roman"/>
      <w:sz w:val="28"/>
      <w:szCs w:val="28"/>
      <w:lang w:eastAsia="en-US"/>
    </w:rPr>
  </w:style>
  <w:style w:type="table" w:styleId="a1" w:default="on">
    <w:name w:val="Normal Table"/>
    <w:semiHidden/>
    <w:tblPr>
      <w:tblW w:w="0" w:type="auto"/>
      <w:tblInd w:w="0" w:type="dxa"/>
      <w:tblCellMar>
        <w:top w:w="0" w:type="dxa"/>
        <w:left w:w="108" w:type="dxa"/>
        <w:bottom w:w="0" w:type="dxa"/>
        <w:right w:w="108" w:type="dxa"/>
      </w:tblCellMar>
      <w:tblCellSpacing w:w="0" w:type="auto"/>
    </w:tblPr>
  </w:style>
  <w:style w:type="numbering" w:styleId="a2" w:default="on">
    <w:name w:val="No List"/>
    <w:semiHidden/>
  </w:style>
  <w:style w:type="paragraph" w:styleId="Header">
    <w:name w:val="header"/>
    <w:basedOn w:val="a"/>
    <w:pPr>
      <w:tabs>
        <w:tab w:val="center" w:leader="none" w:pos="4419"/>
        <w:tab w:val="right" w:leader="none" w:pos="8838"/>
      </w:tabs>
    </w:pPr>
  </w:style>
  <w:style w:type="paragraph" w:styleId="Footer">
    <w:name w:val="footer"/>
    <w:basedOn w:val="a"/>
    <w:pPr>
      <w:tabs>
        <w:tab w:val="center" w:leader="none" w:pos="4419"/>
        <w:tab w:val="right" w:leader="none" w:pos="8838"/>
      </w:tabs>
    </w:pPr>
  </w:style>
  <w:style w:type="paragraph" w:styleId="BodyPaperText">
    <w:name w:val="Body Paper Text"/>
    <w:basedOn w:val="a"/>
    <w:pPr>
      <w:ind w:firstLine="397"/>
      <w:jc w:val="both"/>
    </w:pPr>
    <w:rPr>
      <w:rFonts w:eastAsia="Times New Roman"/>
      <w:sz w:val="20"/>
      <w:szCs w:val="20"/>
      <w:lang w:val="en-US" w:eastAsia="ru-RU"/>
    </w:rPr>
  </w:style>
  <w:style w:type="paragraph" w:styleId="ac">
    <w:name w:val="annotation text"/>
    <w:basedOn w:val="a"/>
    <w:pPr>
      <w:ind w:left="1134" w:right="1134"/>
      <w:jc w:val="both"/>
      <w:tabs>
        <w:tab w:val="left" w:leader="none" w:pos="187"/>
      </w:tabs>
      <w:spacing w:before="480" w:after="240"/>
    </w:pPr>
    <w:rPr>
      <w:rFonts w:eastAsia="Times New Roman"/>
      <w:sz w:val="20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'1.0' encoding='UTF-8' standalone='yes' ?><Relationships xmlns="http://schemas.openxmlformats.org/package/2006/relationships"><Relationship Id="rId1" Type="http://schemas.openxmlformats.org/officeDocument/2006/relationships/settings" Target="settings.xml" TargetMode="Internal" /><Relationship Id="rId2" Type="http://schemas.openxmlformats.org/officeDocument/2006/relationships/webSettings" Target="webSettings.xml" TargetMode="Internal" /><Relationship Id="rId3" Type="http://schemas.openxmlformats.org/officeDocument/2006/relationships/fontTable" Target="fontTable.xml" TargetMode="Internal" /><Relationship Id="rId4" Type="http://schemas.openxmlformats.org/officeDocument/2006/relationships/styles" Target="styles.xml" TargetMode="Internal" /><Relationship Id="rId11" Type="http://schemas.openxmlformats.org/officeDocument/2006/relationships/footer" Target="footer2.xml" TargetMode="Internal" /><Relationship Id="rId10" Type="http://schemas.openxmlformats.org/officeDocument/2006/relationships/footer" Target="footer1.xml" TargetMode="Internal" /><Relationship Id="rId12" Type="http://schemas.openxmlformats.org/officeDocument/2006/relationships/footer" Target="footer3.xml" TargetMode="Internal" /><Relationship Id="rId9" Type="http://schemas.openxmlformats.org/officeDocument/2006/relationships/header" Target="header3.xml" TargetMode="Internal" /><Relationship Id="rId5" Type="http://schemas.openxmlformats.org/officeDocument/2006/relationships/image" Target="media/image1.png" TargetMode="Internal" /><Relationship Id="rId6" Type="http://schemas.openxmlformats.org/officeDocument/2006/relationships/image" Target="media/image2.png" TargetMode="Internal" /><Relationship Id="rId7" Type="http://schemas.openxmlformats.org/officeDocument/2006/relationships/header" Target="header1.xml" TargetMode="Internal" /><Relationship Id="rId8" Type="http://schemas.openxmlformats.org/officeDocument/2006/relationships/header" Target="header2.xml" TargetMode="In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Manager/>
  <Pages>5</Pages>
  <Words>1448</Words>
  <Characters>8260</Characters>
  <Lines>68</Lines>
  <Paragraphs>19</Paragraphs>
  <Slides>0</Slides>
  <Notes>0</Notes>
  <TotalTime>21</TotalTime>
  <HiddenSlides>0</HiddenSlides>
  <MMClips>0</MMClips>
  <ScaleCrop>false</ScaleCrop>
  <LinksUpToDate>false</LinksUpToDate>
  <CharactersWithSpaces>9689</CharactersWithSpaces>
  <SharedDoc>false</SharedDoc>
  <HyperlinkBase/>
  <HyperlinksChanged>false</HyperlinksChanged>
  <Application>Hancom ThinkFree Weboffice Hword v1</Application>
  <AppVersion>07.0170</AppVers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revision>7</cp:revision>
  <dcterms:created xsi:type="dcterms:W3CDTF">2018-07-15T07:00:00Z</dcterms:created>
  <dcterms:modified xsi:type="dcterms:W3CDTF">2020-03-23T09:31:30Z</dcterms:modified>
  <cp:version>14.0000</cp:version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